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252565" w:rsidRDefault="00252565" w:rsidP="00F86A2F">
      <w:pPr>
        <w:jc w:val="center"/>
        <w:rPr>
          <w:b/>
          <w:bCs/>
          <w:sz w:val="28"/>
          <w:szCs w:val="28"/>
          <w:u w:val="single"/>
        </w:rPr>
      </w:pPr>
      <w:r w:rsidRPr="00252565">
        <w:rPr>
          <w:b/>
          <w:bCs/>
          <w:sz w:val="28"/>
          <w:szCs w:val="28"/>
          <w:u w:val="single"/>
        </w:rPr>
        <w:t>INCLUDING ENHANCED U.S. COMPETITIVENESS</w:t>
      </w: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r w:rsidR="00507F3D">
        <w:rPr>
          <w:rFonts w:asciiTheme="minorHAnsi" w:hAnsiTheme="minorHAnsi" w:cs="Times New Roman"/>
          <w:color w:val="auto"/>
        </w:rPr>
        <w:t>(April 2018)</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252565"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Definitions</w:t>
      </w:r>
    </w:p>
    <w:p w:rsidR="00507F3D" w:rsidRPr="00154021" w:rsidRDefault="00507F3D" w:rsidP="00507F3D">
      <w:pPr>
        <w:kinsoku w:val="0"/>
        <w:overflowPunct w:val="0"/>
        <w:spacing w:before="2"/>
        <w:rPr>
          <w:rFonts w:cs="Arial"/>
          <w:spacing w:val="-1"/>
          <w:sz w:val="24"/>
          <w:szCs w:val="24"/>
        </w:rPr>
      </w:pPr>
    </w:p>
    <w:p w:rsidR="00507F3D" w:rsidRPr="00507F3D" w:rsidRDefault="00507F3D" w:rsidP="00507F3D">
      <w:pPr>
        <w:kinsoku w:val="0"/>
        <w:overflowPunct w:val="0"/>
        <w:spacing w:before="2"/>
        <w:ind w:left="720"/>
        <w:rPr>
          <w:rFonts w:cs="Arial"/>
          <w:spacing w:val="-1"/>
          <w:sz w:val="24"/>
          <w:szCs w:val="24"/>
        </w:rPr>
      </w:pPr>
      <w:r w:rsidRPr="00154021">
        <w:rPr>
          <w:rFonts w:cs="Arial"/>
          <w:i/>
          <w:spacing w:val="-1"/>
          <w:sz w:val="24"/>
          <w:szCs w:val="24"/>
        </w:rPr>
        <w:t>Invention</w:t>
      </w:r>
      <w:r w:rsidRPr="00154021">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7342CE">
        <w:rPr>
          <w:rFonts w:cs="Arial"/>
          <w:spacing w:val="-1"/>
          <w:sz w:val="24"/>
          <w:szCs w:val="24"/>
        </w:rPr>
        <w:t xml:space="preserve"> Plant Variety Protection Act (</w:t>
      </w:r>
      <w:r w:rsidRPr="00154021">
        <w:rPr>
          <w:rFonts w:cs="Arial"/>
          <w:spacing w:val="-1"/>
          <w:sz w:val="24"/>
          <w:szCs w:val="24"/>
        </w:rPr>
        <w:t>7 U.S.C. 2321et seq.).</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Subject invention</w:t>
      </w:r>
      <w:r w:rsidRPr="00154021">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Practical Application</w:t>
      </w:r>
      <w:r w:rsidRPr="00154021">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 xml:space="preserve">Made </w:t>
      </w:r>
      <w:r w:rsidRPr="00154021">
        <w:rPr>
          <w:rFonts w:cs="Arial"/>
          <w:spacing w:val="-1"/>
          <w:sz w:val="24"/>
          <w:szCs w:val="24"/>
        </w:rPr>
        <w:t>when used in relation to any invention means the conception or first actual reduction to practice of such invention.</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Small Business Firm</w:t>
      </w:r>
      <w:r w:rsidRPr="00154021">
        <w:rPr>
          <w:rFonts w:cs="Arial"/>
          <w:spacing w:val="-1"/>
          <w:sz w:val="24"/>
          <w:szCs w:val="24"/>
        </w:rPr>
        <w:t xml:space="preserve"> means a small business concern as defined a</w:t>
      </w:r>
      <w:r w:rsidR="007342CE">
        <w:rPr>
          <w:rFonts w:cs="Arial"/>
          <w:spacing w:val="-1"/>
          <w:sz w:val="24"/>
          <w:szCs w:val="24"/>
        </w:rPr>
        <w:t>t section 2 of Pub. L. 85-536 (</w:t>
      </w:r>
      <w:r w:rsidRPr="00154021">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Nonprofit Organization</w:t>
      </w:r>
      <w:r w:rsidRPr="00154021">
        <w:rPr>
          <w:rFonts w:cs="Arial"/>
          <w:spacing w:val="-1"/>
          <w:sz w:val="24"/>
          <w:szCs w:val="24"/>
        </w:rPr>
        <w:t xml:space="preserve"> means a university or other institution of higher education or an organization of the type described in section 501(c)(3) of the </w:t>
      </w:r>
      <w:r w:rsidR="007342CE">
        <w:rPr>
          <w:rFonts w:cs="Arial"/>
          <w:spacing w:val="-1"/>
          <w:sz w:val="24"/>
          <w:szCs w:val="24"/>
        </w:rPr>
        <w:t>Internal Revenue Code of 1954 (</w:t>
      </w:r>
      <w:r w:rsidRPr="00154021">
        <w:rPr>
          <w:rFonts w:cs="Arial"/>
          <w:spacing w:val="-1"/>
          <w:sz w:val="24"/>
          <w:szCs w:val="24"/>
        </w:rPr>
        <w:t>26 U.S.C. 501(c) and exempt from taxation under section 501(a)</w:t>
      </w:r>
      <w:r w:rsidR="007342CE">
        <w:rPr>
          <w:rFonts w:cs="Arial"/>
          <w:spacing w:val="-1"/>
          <w:sz w:val="24"/>
          <w:szCs w:val="24"/>
        </w:rPr>
        <w:t xml:space="preserve"> of the Internal Revenue Code (</w:t>
      </w:r>
      <w:r w:rsidRPr="00154021">
        <w:rPr>
          <w:rFonts w:cs="Arial"/>
          <w:spacing w:val="-1"/>
          <w:sz w:val="24"/>
          <w:szCs w:val="24"/>
        </w:rPr>
        <w:t>25 U.S.C. 501(a)) or any nonprofit scientific or educational organization qualified under a state nonprofit organization statute.</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The term statutory period</w:t>
      </w:r>
      <w:r w:rsidRPr="00154021">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lastRenderedPageBreak/>
        <w:t>The term contractor</w:t>
      </w:r>
      <w:r w:rsidRPr="00154021">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Allocation of Principal Rights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Invention Disclosure, Election of Title and Filing of Patent Application by Contractor</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file its initial patent application on a subject invention to which it elects to retain title within one year after election of title or, if earlier, prior to the </w:t>
      </w:r>
      <w:r w:rsidRPr="00154021">
        <w:rPr>
          <w:rFonts w:asciiTheme="minorHAnsi" w:hAnsiTheme="minorHAnsi" w:cs="Arial"/>
          <w:spacing w:val="-1"/>
          <w:sz w:val="24"/>
          <w:szCs w:val="24"/>
        </w:rPr>
        <w:lastRenderedPageBreak/>
        <w:t>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kinsoku w:val="0"/>
        <w:overflowPunct w:val="0"/>
        <w:spacing w:before="2"/>
        <w:ind w:left="1080" w:hanging="360"/>
        <w:rPr>
          <w:rFonts w:cs="Arial"/>
          <w:spacing w:val="-1"/>
          <w:sz w:val="24"/>
          <w:szCs w:val="24"/>
        </w:rPr>
      </w:pPr>
      <w:r w:rsidRPr="00154021">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7342CE">
        <w:rPr>
          <w:rFonts w:cs="Arial"/>
          <w:spacing w:val="-1"/>
          <w:sz w:val="24"/>
          <w:szCs w:val="24"/>
        </w:rPr>
        <w:t xml:space="preserve"> </w:t>
      </w:r>
      <w:r w:rsidRPr="00154021">
        <w:rPr>
          <w:rFonts w:cs="Arial"/>
          <w:spacing w:val="-1"/>
          <w:sz w:val="24"/>
          <w:szCs w:val="24"/>
        </w:rPr>
        <w:t>35 U.S.C. 202(a).</w:t>
      </w:r>
    </w:p>
    <w:p w:rsidR="00507F3D" w:rsidRPr="00154021" w:rsidRDefault="00507F3D" w:rsidP="00507F3D">
      <w:pPr>
        <w:pStyle w:val="ListParagraph"/>
        <w:widowControl w:val="0"/>
        <w:numPr>
          <w:ilvl w:val="0"/>
          <w:numId w:val="27"/>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507F3D" w:rsidRPr="00154021" w:rsidRDefault="00507F3D" w:rsidP="00507F3D">
      <w:pPr>
        <w:pStyle w:val="ListParagraph"/>
        <w:tabs>
          <w:tab w:val="left" w:pos="1170"/>
        </w:tabs>
        <w:kinsoku w:val="0"/>
        <w:overflowPunct w:val="0"/>
        <w:spacing w:before="2"/>
        <w:ind w:left="1080"/>
        <w:rPr>
          <w:rFonts w:asciiTheme="minorHAnsi" w:hAnsiTheme="minorHAnsi"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Conditions When the Government May Obtain Title</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will convey to the Federal agency, upon written request, title to any subject invention:</w:t>
      </w:r>
    </w:p>
    <w:p w:rsidR="00507F3D" w:rsidRPr="00154021" w:rsidRDefault="00507F3D" w:rsidP="00507F3D">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Minimum Rights to Contractor and Protection of the Contractor Right to File</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Contractor Action to Protect the Government's Interest</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0"/>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Subcontracts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Reporting on Utilization of Subject Inventions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Preference for United States Industry</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March-in Rights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alleviate health or safety needs which are not reasonably satisfied by the contractor, assignee or their licensees;</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agreement required by paragraph (i) of this clause has not been obtained or waived or because a licensee of the exclusive right to use or sell any subject invention in the United States is in breach of such agreement.</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Special Provisions for Contracts with Nonprofit Organizations </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810"/>
        <w:rPr>
          <w:rFonts w:cs="Arial"/>
          <w:spacing w:val="-1"/>
          <w:sz w:val="24"/>
          <w:szCs w:val="24"/>
        </w:rPr>
      </w:pPr>
      <w:r w:rsidRPr="00154021">
        <w:rPr>
          <w:rFonts w:cs="Arial"/>
          <w:spacing w:val="-1"/>
          <w:sz w:val="24"/>
          <w:szCs w:val="24"/>
        </w:rPr>
        <w:t>If the contractor is a nonprofit organization, it agrees that:</w:t>
      </w: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507F3D" w:rsidRPr="00154021" w:rsidRDefault="00507F3D" w:rsidP="00507F3D">
      <w:pPr>
        <w:kinsoku w:val="0"/>
        <w:overflowPunct w:val="0"/>
        <w:spacing w:before="2"/>
        <w:ind w:left="810"/>
        <w:rPr>
          <w:rFonts w:cs="Arial"/>
          <w:spacing w:val="-1"/>
          <w:sz w:val="24"/>
          <w:szCs w:val="24"/>
        </w:rPr>
      </w:pP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w:t>
      </w:r>
      <w:r w:rsidR="007342CE">
        <w:rPr>
          <w:rFonts w:asciiTheme="minorHAnsi" w:hAnsiTheme="minorHAnsi" w:cs="Arial"/>
          <w:spacing w:val="-1"/>
          <w:sz w:val="24"/>
          <w:szCs w:val="24"/>
        </w:rPr>
        <w:t>ance with 35 U.S.C. 202(e) and</w:t>
      </w:r>
      <w:r w:rsidRPr="00154021">
        <w:rPr>
          <w:rFonts w:asciiTheme="minorHAnsi" w:hAnsiTheme="minorHAnsi" w:cs="Arial"/>
          <w:spacing w:val="-1"/>
          <w:sz w:val="24"/>
          <w:szCs w:val="24"/>
        </w:rPr>
        <w:t xml:space="preserve"> 37 CFR 401.10;</w:t>
      </w:r>
    </w:p>
    <w:p w:rsidR="00507F3D" w:rsidRPr="00154021" w:rsidRDefault="00507F3D" w:rsidP="00507F3D">
      <w:pPr>
        <w:kinsoku w:val="0"/>
        <w:overflowPunct w:val="0"/>
        <w:spacing w:before="2"/>
        <w:ind w:left="810"/>
        <w:rPr>
          <w:rFonts w:cs="Arial"/>
          <w:spacing w:val="-1"/>
          <w:sz w:val="24"/>
          <w:szCs w:val="24"/>
        </w:rPr>
      </w:pP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507F3D" w:rsidRPr="00154021" w:rsidRDefault="00507F3D" w:rsidP="00507F3D">
      <w:pPr>
        <w:kinsoku w:val="0"/>
        <w:overflowPunct w:val="0"/>
        <w:spacing w:before="2"/>
        <w:ind w:left="810"/>
        <w:rPr>
          <w:rFonts w:cs="Arial"/>
          <w:spacing w:val="-1"/>
          <w:sz w:val="24"/>
          <w:szCs w:val="24"/>
        </w:rPr>
      </w:pPr>
      <w:r w:rsidRPr="00154021">
        <w:rPr>
          <w:rFonts w:cs="Arial"/>
          <w:spacing w:val="-1"/>
          <w:sz w:val="24"/>
          <w:szCs w:val="24"/>
        </w:rPr>
        <w:t xml:space="preserve"> </w:t>
      </w: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rsidR="00507F3D" w:rsidRPr="00154021" w:rsidRDefault="00507F3D" w:rsidP="00507F3D">
      <w:pPr>
        <w:kinsoku w:val="0"/>
        <w:overflowPunct w:val="0"/>
        <w:spacing w:before="2"/>
        <w:rPr>
          <w:rFonts w:cs="Arial"/>
          <w:sz w:val="24"/>
          <w:szCs w:val="24"/>
        </w:rPr>
      </w:pPr>
    </w:p>
    <w:p w:rsidR="00507F3D" w:rsidRPr="00154021" w:rsidRDefault="00507F3D" w:rsidP="00507F3D">
      <w:pPr>
        <w:widowControl w:val="0"/>
        <w:numPr>
          <w:ilvl w:val="0"/>
          <w:numId w:val="24"/>
        </w:numPr>
        <w:kinsoku w:val="0"/>
        <w:overflowPunct w:val="0"/>
        <w:autoSpaceDE w:val="0"/>
        <w:autoSpaceDN w:val="0"/>
        <w:adjustRightInd w:val="0"/>
        <w:spacing w:after="0" w:line="393" w:lineRule="auto"/>
        <w:ind w:left="720" w:right="3903" w:hanging="720"/>
        <w:rPr>
          <w:rFonts w:cs="Arial"/>
          <w:sz w:val="24"/>
          <w:szCs w:val="24"/>
        </w:rPr>
      </w:pPr>
      <w:bookmarkStart w:id="1" w:name="(l)_Communication"/>
      <w:bookmarkEnd w:id="1"/>
      <w:r w:rsidRPr="00154021">
        <w:rPr>
          <w:rFonts w:cs="Arial"/>
          <w:sz w:val="24"/>
          <w:szCs w:val="24"/>
        </w:rPr>
        <w:t xml:space="preserve">Communication </w:t>
      </w:r>
    </w:p>
    <w:p w:rsidR="00507F3D" w:rsidRPr="00154021" w:rsidRDefault="00507F3D" w:rsidP="00507F3D">
      <w:pPr>
        <w:kinsoku w:val="0"/>
        <w:overflowPunct w:val="0"/>
        <w:ind w:left="720" w:right="40"/>
        <w:rPr>
          <w:rFonts w:cs="Arial"/>
          <w:sz w:val="24"/>
          <w:szCs w:val="24"/>
        </w:rPr>
      </w:pPr>
      <w:r w:rsidRPr="00154021">
        <w:rPr>
          <w:rFonts w:cs="Arial"/>
          <w:sz w:val="24"/>
          <w:szCs w:val="24"/>
        </w:rPr>
        <w:t xml:space="preserve">All communications required by this Patent Rights Clause should be sent to iEdison at </w:t>
      </w:r>
      <w:hyperlink r:id="rId8" w:history="1">
        <w:r w:rsidRPr="00154021">
          <w:rPr>
            <w:rFonts w:cs="Arial"/>
            <w:color w:val="0000FF"/>
            <w:sz w:val="24"/>
            <w:szCs w:val="24"/>
            <w:u w:val="single"/>
          </w:rPr>
          <w:t>https://s-edison.info.nih.gov/iEdison/</w:t>
        </w:r>
      </w:hyperlink>
      <w:r w:rsidRPr="00154021">
        <w:rPr>
          <w:rFonts w:cs="Arial"/>
          <w:sz w:val="24"/>
          <w:szCs w:val="24"/>
        </w:rPr>
        <w:t xml:space="preserve">. </w:t>
      </w:r>
    </w:p>
    <w:p w:rsidR="00507F3D" w:rsidRPr="00154021" w:rsidRDefault="00507F3D" w:rsidP="00507F3D">
      <w:pPr>
        <w:kinsoku w:val="0"/>
        <w:overflowPunct w:val="0"/>
        <w:ind w:left="86" w:right="43" w:firstLine="490"/>
        <w:rPr>
          <w:rFonts w:cs="Arial"/>
          <w:sz w:val="24"/>
          <w:szCs w:val="24"/>
        </w:rPr>
      </w:pPr>
    </w:p>
    <w:p w:rsidR="00507F3D" w:rsidRDefault="00507F3D" w:rsidP="00507F3D">
      <w:pPr>
        <w:widowControl w:val="0"/>
        <w:numPr>
          <w:ilvl w:val="0"/>
          <w:numId w:val="24"/>
        </w:numPr>
        <w:autoSpaceDE w:val="0"/>
        <w:autoSpaceDN w:val="0"/>
        <w:adjustRightInd w:val="0"/>
        <w:spacing w:after="0" w:line="240" w:lineRule="auto"/>
        <w:ind w:left="720" w:hanging="720"/>
        <w:rPr>
          <w:rFonts w:cs="Arial"/>
          <w:sz w:val="24"/>
          <w:szCs w:val="24"/>
        </w:rPr>
      </w:pPr>
      <w:r w:rsidRPr="00154021">
        <w:rPr>
          <w:rFonts w:cs="Arial"/>
          <w:sz w:val="24"/>
          <w:szCs w:val="24"/>
        </w:rPr>
        <w:t>Electronic Filing</w:t>
      </w:r>
    </w:p>
    <w:p w:rsidR="00507F3D" w:rsidRPr="00507F3D" w:rsidRDefault="00507F3D" w:rsidP="00507F3D">
      <w:pPr>
        <w:widowControl w:val="0"/>
        <w:autoSpaceDE w:val="0"/>
        <w:autoSpaceDN w:val="0"/>
        <w:adjustRightInd w:val="0"/>
        <w:spacing w:after="0" w:line="240" w:lineRule="auto"/>
        <w:ind w:left="720"/>
        <w:rPr>
          <w:rFonts w:cs="Arial"/>
          <w:sz w:val="24"/>
          <w:szCs w:val="24"/>
        </w:rPr>
      </w:pPr>
    </w:p>
    <w:p w:rsidR="00507F3D" w:rsidRPr="00154021" w:rsidRDefault="00507F3D" w:rsidP="00507F3D">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507F3D" w:rsidRPr="00154021" w:rsidRDefault="00507F3D" w:rsidP="00507F3D">
      <w:pPr>
        <w:rPr>
          <w:sz w:val="24"/>
          <w:szCs w:val="24"/>
        </w:rPr>
      </w:pPr>
      <w:r w:rsidRPr="00154021">
        <w:rPr>
          <w:sz w:val="24"/>
          <w:szCs w:val="24"/>
        </w:rPr>
        <w:t xml:space="preserve"> (End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Data specifically identified in this contract as data to be delivered without 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w:t>
      </w:r>
      <w:r w:rsidR="009019BE">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AF275B" w:rsidRPr="002243B0" w:rsidRDefault="003824E2" w:rsidP="002243B0">
      <w:pPr>
        <w:pStyle w:val="CM16"/>
        <w:spacing w:line="240" w:lineRule="atLeast"/>
        <w:rPr>
          <w:rFonts w:asciiTheme="minorHAnsi" w:hAnsiTheme="minorHAnsi"/>
        </w:rPr>
      </w:pPr>
      <w:r w:rsidRPr="003824E2">
        <w:rPr>
          <w:rFonts w:asciiTheme="minorHAnsi" w:hAnsiTheme="minorHAnsi"/>
        </w:rPr>
        <w:t>(End of notice)</w:t>
      </w: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2243B0">
        <w:rPr>
          <w:rFonts w:asciiTheme="minorHAnsi" w:hAnsiTheme="minorHAnsi"/>
        </w:rPr>
        <w:t>2</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r>
      <w:r w:rsidR="00252565">
        <w:rPr>
          <w:rFonts w:cs="Times New Roman"/>
          <w:b/>
          <w:sz w:val="24"/>
          <w:szCs w:val="24"/>
        </w:rPr>
        <w:t xml:space="preserve">Enhanced </w:t>
      </w:r>
      <w:r w:rsidRPr="00710395">
        <w:rPr>
          <w:rFonts w:cs="Times New Roman"/>
          <w:b/>
          <w:sz w:val="24"/>
          <w:szCs w:val="24"/>
        </w:rPr>
        <w:t>U.S. Competitiveness</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Pr="00C3518B">
        <w:rPr>
          <w:rFonts w:eastAsia="Times New Roman" w:cs="Times New Roman"/>
          <w:color w:val="000000"/>
          <w:sz w:val="24"/>
          <w:szCs w:val="24"/>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If the Recipient or a licensee of the Recipient fails to comply with the foregoing U.S. manufacturing requirement then: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sidR="003A0785">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Pr="00C3518B">
        <w:rPr>
          <w:rFonts w:eastAsia="Times New Roman" w:cs="Times New Roman"/>
          <w:color w:val="000000"/>
          <w:sz w:val="24"/>
          <w:szCs w:val="24"/>
        </w:rPr>
        <w:t xml:space="preserve">The Recipient may request a waiver or modification of this U.S. </w:t>
      </w:r>
      <w:r w:rsidR="00252565" w:rsidRPr="00C3518B">
        <w:rPr>
          <w:rFonts w:eastAsia="Times New Roman" w:cs="Times New Roman"/>
          <w:color w:val="000000"/>
          <w:sz w:val="24"/>
          <w:szCs w:val="24"/>
        </w:rPr>
        <w:t>Competitiveness</w:t>
      </w:r>
      <w:r w:rsidRPr="00C3518B">
        <w:rPr>
          <w:rFonts w:eastAsia="Times New Roman" w:cs="Times New Roman"/>
          <w:color w:val="000000"/>
          <w:sz w:val="24"/>
          <w:szCs w:val="24"/>
        </w:rPr>
        <w:t xml:space="preserve">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pStyle w:val="Default"/>
        <w:jc w:val="both"/>
        <w:rPr>
          <w:rFonts w:asciiTheme="minorHAnsi" w:hAnsiTheme="minorHAnsi" w:cs="Times New Roman"/>
        </w:rPr>
      </w:pPr>
      <w:r w:rsidRPr="00C3518B">
        <w:rPr>
          <w:rFonts w:asciiTheme="minorHAnsi" w:hAnsiTheme="minorHAnsi" w:cs="Times New Roman"/>
        </w:rPr>
        <w:t>(End of Clause)</w:t>
      </w:r>
    </w:p>
    <w:p w:rsidR="00F86A2F" w:rsidRPr="00710395" w:rsidRDefault="00BC5B02" w:rsidP="00BC5B02">
      <w:pPr>
        <w:pStyle w:val="CM13"/>
        <w:spacing w:after="240"/>
        <w:ind w:right="216"/>
        <w:rPr>
          <w:rFonts w:asciiTheme="minorHAnsi" w:hAnsiTheme="minorHAnsi"/>
          <w:color w:val="000000"/>
        </w:rPr>
      </w:pPr>
      <w:r w:rsidRPr="00710395">
        <w:rPr>
          <w:rFonts w:asciiTheme="minorHAnsi" w:hAnsiTheme="minorHAnsi"/>
          <w:color w:val="000000"/>
        </w:rPr>
        <w:t xml:space="preserve"> </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t>Subawards</w:t>
      </w:r>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Subawardees:  The Recipient shall incorporate all of the intellectual property provisions found in Attachment 2 (Domestic Small Businesses) </w:t>
      </w:r>
      <w:r w:rsidR="00252565">
        <w:rPr>
          <w:rFonts w:asciiTheme="minorHAnsi" w:hAnsiTheme="minorHAnsi" w:cs="Times New Roman"/>
          <w:color w:val="auto"/>
        </w:rPr>
        <w:t xml:space="preserve">INCLUDING ENHANCED U.S. COMPETITIVENESS </w:t>
      </w:r>
      <w:r w:rsidRPr="00710395">
        <w:rPr>
          <w:rFonts w:asciiTheme="minorHAnsi" w:hAnsiTheme="minorHAnsi" w:cs="Times New Roman"/>
          <w:color w:val="auto"/>
        </w:rPr>
        <w:t xml:space="preserve">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252565">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Subawardees: The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(DOMESTIC UNIVERSITIES AND NONPROFIT ORGANIZATIONS)</w:t>
      </w:r>
      <w:r w:rsidR="00252565">
        <w:rPr>
          <w:rFonts w:asciiTheme="minorHAnsi" w:hAnsiTheme="minorHAnsi" w:cs="Times New Roman"/>
          <w:color w:val="auto"/>
        </w:rPr>
        <w:t xml:space="preserve"> INCLUDING ENHANCED U.S. COMPETITIVENESS </w:t>
      </w:r>
      <w:r w:rsidRPr="00710395">
        <w:rPr>
          <w:rFonts w:asciiTheme="minorHAnsi" w:hAnsiTheme="minorHAnsi" w:cs="Times New Roman"/>
          <w:color w:val="auto"/>
        </w:rPr>
        <w:t xml:space="preserve">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Subawardees:  </w:t>
      </w:r>
    </w:p>
    <w:p w:rsidR="00F86A2F" w:rsidRPr="00710395" w:rsidRDefault="00F86A2F" w:rsidP="00F86A2F">
      <w:pPr>
        <w:pStyle w:val="Default"/>
        <w:ind w:left="720" w:hanging="720"/>
        <w:rPr>
          <w:rFonts w:asciiTheme="minorHAnsi" w:hAnsiTheme="minorHAnsi" w:cs="Times New Roman"/>
          <w:color w:val="auto"/>
        </w:rPr>
      </w:pPr>
    </w:p>
    <w:p w:rsidR="00672C3D" w:rsidRPr="00710395" w:rsidRDefault="00F86A2F" w:rsidP="00056058">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If a large business receiving a subaward provides cost sharing of at least 20% under its subaward t</w:t>
      </w:r>
      <w:r w:rsidR="00672C3D" w:rsidRPr="00206AD3">
        <w:rPr>
          <w:rFonts w:asciiTheme="minorHAnsi" w:hAnsiTheme="minorHAnsi" w:cs="Times New Roman"/>
          <w:color w:val="auto"/>
        </w:rPr>
        <w:t xml:space="preserve">he Recipient shall incorporate all of the intellectual property provisions found in Attachment 2 </w:t>
      </w:r>
      <w:r w:rsidR="00E258F0">
        <w:rPr>
          <w:rFonts w:asciiTheme="minorHAnsi" w:hAnsiTheme="minorHAnsi" w:cs="Times New Roman"/>
          <w:color w:val="auto"/>
        </w:rPr>
        <w:t>for</w:t>
      </w:r>
      <w:r w:rsidR="00252565" w:rsidRPr="00252565">
        <w:rPr>
          <w:rFonts w:asciiTheme="minorHAnsi" w:hAnsiTheme="minorHAnsi" w:cs="Times New Roman"/>
          <w:color w:val="auto"/>
        </w:rPr>
        <w:t xml:space="preserve"> </w:t>
      </w:r>
      <w:r w:rsidR="00056058" w:rsidRPr="00056058">
        <w:rPr>
          <w:rFonts w:asciiTheme="minorHAnsi" w:hAnsiTheme="minorHAnsi" w:cs="Times New Roman"/>
          <w:color w:val="auto"/>
        </w:rPr>
        <w:t>ARPA-E INTELLECTUAL PROPERTY PROVISIONS FOR SBIR/STTR SUBAWARDS</w:t>
      </w:r>
      <w:r w:rsidR="00056058">
        <w:rPr>
          <w:rFonts w:asciiTheme="minorHAnsi" w:hAnsiTheme="minorHAnsi" w:cs="Times New Roman"/>
          <w:color w:val="auto"/>
        </w:rPr>
        <w:t xml:space="preserve"> </w:t>
      </w:r>
      <w:r w:rsidR="00056058" w:rsidRPr="00056058">
        <w:rPr>
          <w:rFonts w:asciiTheme="minorHAnsi" w:hAnsiTheme="minorHAnsi" w:cs="Times New Roman"/>
          <w:color w:val="auto"/>
        </w:rPr>
        <w:t>(LARGE BUSINESSES- Patent Waiver)</w:t>
      </w:r>
      <w:r w:rsidR="00252565">
        <w:rPr>
          <w:rFonts w:asciiTheme="minorHAnsi" w:hAnsiTheme="minorHAnsi" w:cs="Times New Roman"/>
          <w:color w:val="auto"/>
        </w:rPr>
        <w:t xml:space="preserve">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1"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subaward with the large business.  </w:t>
      </w:r>
    </w:p>
    <w:p w:rsidR="00672C3D" w:rsidRPr="00710395" w:rsidRDefault="00672C3D" w:rsidP="00672C3D">
      <w:pPr>
        <w:pStyle w:val="Default"/>
        <w:ind w:left="1440" w:hanging="720"/>
        <w:rPr>
          <w:rFonts w:asciiTheme="minorHAnsi" w:hAnsiTheme="minorHAnsi" w:cs="Times New Roman"/>
          <w:color w:val="auto"/>
        </w:rPr>
      </w:pPr>
    </w:p>
    <w:p w:rsidR="00672C3D" w:rsidRDefault="00672C3D" w:rsidP="00252565">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(LARGE BUSINESSES-No Patent Waiver)</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Pr="00206AD3">
        <w:rPr>
          <w:rFonts w:asciiTheme="minorHAnsi" w:hAnsiTheme="minorHAnsi" w:cs="Times New Roman"/>
          <w:color w:val="auto"/>
        </w:rPr>
        <w:t>(Large Businesses)</w:t>
      </w:r>
      <w:r w:rsidR="00252565" w:rsidRPr="00252565">
        <w:rPr>
          <w:rFonts w:asciiTheme="minorHAnsi" w:hAnsiTheme="minorHAnsi" w:cs="Times New Roman"/>
          <w:color w:val="auto"/>
        </w:rPr>
        <w:t xml:space="preserve"> </w:t>
      </w:r>
      <w:r w:rsidR="00252565">
        <w:rPr>
          <w:rFonts w:asciiTheme="minorHAnsi" w:hAnsiTheme="minorHAnsi" w:cs="Times New Roman"/>
          <w:color w:val="auto"/>
        </w:rPr>
        <w:t xml:space="preserve">) INCLUDING ENHANCED U.S. COMPETITIVENESS IN SUBAWARDS </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252565" w:rsidRPr="00252565" w:rsidRDefault="00252565" w:rsidP="00252565">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42514C" w:rsidRDefault="0042514C" w:rsidP="00F86A2F">
      <w:pPr>
        <w:pStyle w:val="Default"/>
        <w:ind w:left="720" w:hanging="720"/>
        <w:rPr>
          <w:rFonts w:asciiTheme="minorHAnsi" w:hAnsiTheme="minorHAnsi" w:cs="Times New Roman"/>
          <w:color w:val="auto"/>
        </w:rPr>
      </w:pPr>
    </w:p>
    <w:p w:rsidR="004B6D73" w:rsidRDefault="0042514C"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t xml:space="preserve">In each of the </w:t>
      </w:r>
      <w:r w:rsidRPr="0042514C">
        <w:rPr>
          <w:rFonts w:asciiTheme="minorHAnsi" w:hAnsiTheme="minorHAnsi" w:cs="Times New Roman"/>
          <w:color w:val="auto"/>
        </w:rPr>
        <w:t>FAR 52.227-20 Rights in Data – SBIR Program</w:t>
      </w:r>
      <w:r>
        <w:rPr>
          <w:rFonts w:asciiTheme="minorHAnsi" w:hAnsiTheme="minorHAnsi" w:cs="Times New Roman"/>
          <w:color w:val="auto"/>
        </w:rPr>
        <w:t xml:space="preserve"> clause </w:t>
      </w:r>
      <w:r w:rsidR="004B6D73">
        <w:rPr>
          <w:rFonts w:asciiTheme="minorHAnsi" w:hAnsiTheme="minorHAnsi" w:cs="Times New Roman"/>
          <w:color w:val="auto"/>
        </w:rPr>
        <w:t xml:space="preserve">in each </w:t>
      </w:r>
      <w:r>
        <w:rPr>
          <w:rFonts w:asciiTheme="minorHAnsi" w:hAnsiTheme="minorHAnsi" w:cs="Times New Roman"/>
          <w:color w:val="auto"/>
        </w:rPr>
        <w:t>of the above Attachment 2’s</w:t>
      </w:r>
      <w:r w:rsidR="004B6D73">
        <w:rPr>
          <w:rFonts w:asciiTheme="minorHAnsi" w:hAnsiTheme="minorHAnsi" w:cs="Times New Roman"/>
          <w:color w:val="auto"/>
        </w:rPr>
        <w:t>,</w:t>
      </w:r>
      <w:r>
        <w:rPr>
          <w:rFonts w:asciiTheme="minorHAnsi" w:hAnsiTheme="minorHAnsi" w:cs="Times New Roman"/>
          <w:color w:val="auto"/>
        </w:rPr>
        <w:t xml:space="preserve"> </w:t>
      </w:r>
      <w:r w:rsidR="004B6D73">
        <w:rPr>
          <w:rFonts w:asciiTheme="minorHAnsi" w:hAnsiTheme="minorHAnsi" w:cs="Times New Roman"/>
          <w:color w:val="auto"/>
        </w:rPr>
        <w:t>in the SBIR Rights Notice in paragraph (d), substitute 20 years for 4 years.</w:t>
      </w:r>
    </w:p>
    <w:p w:rsidR="002243B0" w:rsidRDefault="004B6D73"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 </w:t>
      </w:r>
    </w:p>
    <w:p w:rsidR="00F86A2F" w:rsidRDefault="002243B0"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 </w:t>
      </w:r>
      <w:r w:rsidR="00F86A2F" w:rsidRPr="00710395">
        <w:rPr>
          <w:rFonts w:asciiTheme="minorHAnsi" w:hAnsiTheme="minorHAnsi" w:cs="Times New Roman"/>
          <w:color w:val="auto"/>
        </w:rPr>
        <w:t>(End of clause)</w:t>
      </w:r>
    </w:p>
    <w:p w:rsidR="00817F01" w:rsidRDefault="00817F01" w:rsidP="00F86A2F">
      <w:pPr>
        <w:pStyle w:val="Default"/>
        <w:ind w:left="720" w:hanging="720"/>
        <w:rPr>
          <w:rFonts w:asciiTheme="minorHAnsi" w:hAnsiTheme="minorHAnsi" w:cs="Times New Roman"/>
          <w:color w:val="auto"/>
        </w:rPr>
      </w:pPr>
    </w:p>
    <w:p w:rsidR="00817F01" w:rsidRPr="00817F01" w:rsidRDefault="00817F01" w:rsidP="00817F01">
      <w:pPr>
        <w:pStyle w:val="Default"/>
        <w:ind w:left="720" w:hanging="720"/>
        <w:jc w:val="center"/>
        <w:rPr>
          <w:rFonts w:asciiTheme="minorHAnsi" w:hAnsiTheme="minorHAnsi" w:cs="Times New Roman"/>
          <w:b/>
          <w:color w:val="auto"/>
        </w:rPr>
      </w:pPr>
      <w:r w:rsidRPr="00817F01">
        <w:rPr>
          <w:rFonts w:asciiTheme="minorHAnsi" w:hAnsiTheme="minorHAnsi" w:cs="Times New Roman"/>
          <w:b/>
          <w:color w:val="auto"/>
        </w:rPr>
        <w:t>ADDENDUM</w:t>
      </w:r>
    </w:p>
    <w:p w:rsidR="00F86A2F" w:rsidRPr="00710395" w:rsidRDefault="00F86A2F" w:rsidP="00F86A2F">
      <w:pPr>
        <w:pStyle w:val="Default"/>
        <w:rPr>
          <w:rFonts w:asciiTheme="minorHAnsi" w:hAnsiTheme="minorHAnsi"/>
        </w:rPr>
      </w:pPr>
    </w:p>
    <w:p w:rsidR="00011066" w:rsidRPr="00F86A2F" w:rsidRDefault="00011066" w:rsidP="00817F01">
      <w:bookmarkStart w:id="2" w:name="_GoBack"/>
      <w:bookmarkEnd w:id="2"/>
    </w:p>
    <w:sectPr w:rsidR="00011066" w:rsidRPr="00F86A2F" w:rsidSect="00983F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47" w:rsidRDefault="00292847" w:rsidP="006B7B6B">
      <w:pPr>
        <w:spacing w:after="0" w:line="240" w:lineRule="auto"/>
      </w:pPr>
      <w:r>
        <w:separator/>
      </w:r>
    </w:p>
  </w:endnote>
  <w:endnote w:type="continuationSeparator" w:id="0">
    <w:p w:rsidR="00292847" w:rsidRDefault="00292847"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A1" w:rsidRDefault="00EF4E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EF4EA1">
              <w:rPr>
                <w:bCs/>
                <w:noProof/>
              </w:rPr>
              <w:t>18</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EF4EA1">
              <w:rPr>
                <w:bCs/>
                <w:noProof/>
              </w:rPr>
              <w:t>18</w:t>
            </w:r>
            <w:r w:rsidRPr="00065A28">
              <w:rPr>
                <w:bCs/>
              </w:rPr>
              <w:fldChar w:fldCharType="end"/>
            </w:r>
            <w:r w:rsidRPr="00065A28">
              <w:rPr>
                <w:bCs/>
              </w:rPr>
              <w:tab/>
            </w:r>
            <w:r w:rsidRPr="00065A28">
              <w:rPr>
                <w:bCs/>
              </w:rPr>
              <w:tab/>
              <w:t>AR-226</w:t>
            </w:r>
            <w:r w:rsidR="00335E00">
              <w:rPr>
                <w:bCs/>
              </w:rPr>
              <w:t>A</w:t>
            </w:r>
            <w:r w:rsidRPr="00065A28">
              <w:rPr>
                <w:bCs/>
              </w:rPr>
              <w:t>-</w:t>
            </w:r>
            <w:r w:rsidR="009E6903">
              <w:rPr>
                <w:bCs/>
              </w:rPr>
              <w:t>10.08.19</w:t>
            </w:r>
          </w:p>
        </w:sdtContent>
      </w:sdt>
    </w:sdtContent>
  </w:sdt>
  <w:p w:rsidR="00ED114D" w:rsidRPr="00153E72" w:rsidRDefault="00ED114D" w:rsidP="00B86F31">
    <w:pPr>
      <w:pStyle w:val="Footer"/>
      <w:jc w:val="righ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EA1" w:rsidRDefault="00EF4E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47" w:rsidRDefault="00292847" w:rsidP="006B7B6B">
      <w:pPr>
        <w:spacing w:after="0" w:line="240" w:lineRule="auto"/>
      </w:pPr>
      <w:r>
        <w:separator/>
      </w:r>
    </w:p>
  </w:footnote>
  <w:footnote w:type="continuationSeparator" w:id="0">
    <w:p w:rsidR="00292847" w:rsidRDefault="00292847" w:rsidP="006B7B6B">
      <w:pPr>
        <w:spacing w:after="0" w:line="240" w:lineRule="auto"/>
      </w:pPr>
      <w:r>
        <w:continuationSeparator/>
      </w:r>
    </w:p>
  </w:footnote>
  <w:footnote w:id="1">
    <w:p w:rsidR="00BC5B02" w:rsidRPr="003A6EA6" w:rsidRDefault="00BC5B02" w:rsidP="00BC5B02">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EF4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w:t>
    </w:r>
    <w:r w:rsidR="00EF4EA1">
      <w:rPr>
        <w:b/>
        <w:sz w:val="20"/>
        <w:szCs w:val="20"/>
      </w:rPr>
      <w:t>xxxx</w:t>
    </w:r>
    <w:r w:rsidRPr="00721795">
      <w:rPr>
        <w:b/>
        <w:sz w:val="20"/>
        <w:szCs w:val="20"/>
      </w:rPr>
      <w:t xml:space="preserve"> with </w:t>
    </w:r>
    <w:r w:rsidR="00EF4EA1">
      <w:rPr>
        <w:b/>
        <w:sz w:val="20"/>
        <w:szCs w:val="20"/>
      </w:rPr>
      <w:t>[insert recipient]</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EF4E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9"/>
  </w:num>
  <w:num w:numId="5">
    <w:abstractNumId w:val="15"/>
  </w:num>
  <w:num w:numId="6">
    <w:abstractNumId w:val="25"/>
  </w:num>
  <w:num w:numId="7">
    <w:abstractNumId w:val="19"/>
  </w:num>
  <w:num w:numId="8">
    <w:abstractNumId w:val="26"/>
  </w:num>
  <w:num w:numId="9">
    <w:abstractNumId w:val="21"/>
  </w:num>
  <w:num w:numId="10">
    <w:abstractNumId w:val="17"/>
  </w:num>
  <w:num w:numId="11">
    <w:abstractNumId w:val="9"/>
  </w:num>
  <w:num w:numId="12">
    <w:abstractNumId w:val="22"/>
  </w:num>
  <w:num w:numId="13">
    <w:abstractNumId w:val="16"/>
  </w:num>
  <w:num w:numId="14">
    <w:abstractNumId w:val="11"/>
  </w:num>
  <w:num w:numId="15">
    <w:abstractNumId w:val="5"/>
  </w:num>
  <w:num w:numId="16">
    <w:abstractNumId w:val="13"/>
  </w:num>
  <w:num w:numId="17">
    <w:abstractNumId w:val="23"/>
  </w:num>
  <w:num w:numId="18">
    <w:abstractNumId w:val="30"/>
  </w:num>
  <w:num w:numId="19">
    <w:abstractNumId w:val="3"/>
  </w:num>
  <w:num w:numId="20">
    <w:abstractNumId w:val="6"/>
  </w:num>
  <w:num w:numId="21">
    <w:abstractNumId w:val="31"/>
  </w:num>
  <w:num w:numId="22">
    <w:abstractNumId w:val="20"/>
  </w:num>
  <w:num w:numId="23">
    <w:abstractNumId w:val="18"/>
  </w:num>
  <w:num w:numId="24">
    <w:abstractNumId w:val="2"/>
  </w:num>
  <w:num w:numId="25">
    <w:abstractNumId w:val="10"/>
  </w:num>
  <w:num w:numId="26">
    <w:abstractNumId w:val="14"/>
  </w:num>
  <w:num w:numId="27">
    <w:abstractNumId w:val="4"/>
  </w:num>
  <w:num w:numId="28">
    <w:abstractNumId w:val="12"/>
  </w:num>
  <w:num w:numId="29">
    <w:abstractNumId w:val="24"/>
  </w:num>
  <w:num w:numId="30">
    <w:abstractNumId w:val="7"/>
  </w:num>
  <w:num w:numId="31">
    <w:abstractNumId w:val="3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56058"/>
    <w:rsid w:val="00065A28"/>
    <w:rsid w:val="00094487"/>
    <w:rsid w:val="000C45E4"/>
    <w:rsid w:val="00100DA9"/>
    <w:rsid w:val="00103258"/>
    <w:rsid w:val="00105044"/>
    <w:rsid w:val="0013178F"/>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243B0"/>
    <w:rsid w:val="00252565"/>
    <w:rsid w:val="00261862"/>
    <w:rsid w:val="002649CF"/>
    <w:rsid w:val="00264FAB"/>
    <w:rsid w:val="00292847"/>
    <w:rsid w:val="0029467D"/>
    <w:rsid w:val="00295744"/>
    <w:rsid w:val="00296E85"/>
    <w:rsid w:val="002A2AB5"/>
    <w:rsid w:val="002B231A"/>
    <w:rsid w:val="002D60C8"/>
    <w:rsid w:val="002E021F"/>
    <w:rsid w:val="002E281F"/>
    <w:rsid w:val="002E2AC4"/>
    <w:rsid w:val="002E6011"/>
    <w:rsid w:val="00335E00"/>
    <w:rsid w:val="003709E7"/>
    <w:rsid w:val="00375580"/>
    <w:rsid w:val="00377611"/>
    <w:rsid w:val="003824E2"/>
    <w:rsid w:val="00387986"/>
    <w:rsid w:val="00391178"/>
    <w:rsid w:val="0039601F"/>
    <w:rsid w:val="00396028"/>
    <w:rsid w:val="003A0785"/>
    <w:rsid w:val="003A4063"/>
    <w:rsid w:val="003F512F"/>
    <w:rsid w:val="003F72CF"/>
    <w:rsid w:val="0041032F"/>
    <w:rsid w:val="00411C17"/>
    <w:rsid w:val="0042514C"/>
    <w:rsid w:val="0046644A"/>
    <w:rsid w:val="00484B41"/>
    <w:rsid w:val="00486F8C"/>
    <w:rsid w:val="00487398"/>
    <w:rsid w:val="004963CF"/>
    <w:rsid w:val="004B6D73"/>
    <w:rsid w:val="004E1C81"/>
    <w:rsid w:val="00507F3D"/>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276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342CE"/>
    <w:rsid w:val="0075010B"/>
    <w:rsid w:val="00753F56"/>
    <w:rsid w:val="00762DB8"/>
    <w:rsid w:val="00772AC5"/>
    <w:rsid w:val="00772E04"/>
    <w:rsid w:val="007B6959"/>
    <w:rsid w:val="007C20AD"/>
    <w:rsid w:val="007E3C62"/>
    <w:rsid w:val="007F4191"/>
    <w:rsid w:val="00804BDD"/>
    <w:rsid w:val="0081166B"/>
    <w:rsid w:val="00817209"/>
    <w:rsid w:val="00817F01"/>
    <w:rsid w:val="00851488"/>
    <w:rsid w:val="00860838"/>
    <w:rsid w:val="008808AA"/>
    <w:rsid w:val="008836D0"/>
    <w:rsid w:val="008848A6"/>
    <w:rsid w:val="008866F0"/>
    <w:rsid w:val="00890D0B"/>
    <w:rsid w:val="00891C72"/>
    <w:rsid w:val="0089244D"/>
    <w:rsid w:val="00894BA5"/>
    <w:rsid w:val="0089573A"/>
    <w:rsid w:val="008A6AFE"/>
    <w:rsid w:val="008C2ABE"/>
    <w:rsid w:val="008E4500"/>
    <w:rsid w:val="008E5F69"/>
    <w:rsid w:val="00901066"/>
    <w:rsid w:val="009019BE"/>
    <w:rsid w:val="00914AA1"/>
    <w:rsid w:val="009156B5"/>
    <w:rsid w:val="009218D0"/>
    <w:rsid w:val="00921D29"/>
    <w:rsid w:val="009407C3"/>
    <w:rsid w:val="009466E1"/>
    <w:rsid w:val="009557CC"/>
    <w:rsid w:val="0096160A"/>
    <w:rsid w:val="00971184"/>
    <w:rsid w:val="009818EC"/>
    <w:rsid w:val="00983FCE"/>
    <w:rsid w:val="0098729A"/>
    <w:rsid w:val="009A5A8B"/>
    <w:rsid w:val="009A71EB"/>
    <w:rsid w:val="009B5F03"/>
    <w:rsid w:val="009E6903"/>
    <w:rsid w:val="009F41D4"/>
    <w:rsid w:val="009F7716"/>
    <w:rsid w:val="00A00401"/>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02"/>
    <w:rsid w:val="00BC5BBE"/>
    <w:rsid w:val="00BD57CF"/>
    <w:rsid w:val="00BD6A72"/>
    <w:rsid w:val="00C015F8"/>
    <w:rsid w:val="00C0590A"/>
    <w:rsid w:val="00C2451E"/>
    <w:rsid w:val="00C3693A"/>
    <w:rsid w:val="00C4227A"/>
    <w:rsid w:val="00C45AD4"/>
    <w:rsid w:val="00C511D0"/>
    <w:rsid w:val="00C5174C"/>
    <w:rsid w:val="00C52431"/>
    <w:rsid w:val="00C5300A"/>
    <w:rsid w:val="00C86EAF"/>
    <w:rsid w:val="00C96919"/>
    <w:rsid w:val="00CB2F70"/>
    <w:rsid w:val="00CB43EB"/>
    <w:rsid w:val="00CC5B64"/>
    <w:rsid w:val="00CD6E88"/>
    <w:rsid w:val="00CE2F31"/>
    <w:rsid w:val="00CE5FD4"/>
    <w:rsid w:val="00CE7273"/>
    <w:rsid w:val="00D002FC"/>
    <w:rsid w:val="00D22DA4"/>
    <w:rsid w:val="00D27285"/>
    <w:rsid w:val="00D5538E"/>
    <w:rsid w:val="00D6226A"/>
    <w:rsid w:val="00D83C75"/>
    <w:rsid w:val="00D85439"/>
    <w:rsid w:val="00DB14EA"/>
    <w:rsid w:val="00DB210F"/>
    <w:rsid w:val="00DE4B81"/>
    <w:rsid w:val="00DF3409"/>
    <w:rsid w:val="00DF7E6E"/>
    <w:rsid w:val="00E033F3"/>
    <w:rsid w:val="00E05069"/>
    <w:rsid w:val="00E258F0"/>
    <w:rsid w:val="00E33B2A"/>
    <w:rsid w:val="00E45479"/>
    <w:rsid w:val="00E5362B"/>
    <w:rsid w:val="00E67A58"/>
    <w:rsid w:val="00E70557"/>
    <w:rsid w:val="00E82919"/>
    <w:rsid w:val="00E82DB6"/>
    <w:rsid w:val="00EA047F"/>
    <w:rsid w:val="00EA5127"/>
    <w:rsid w:val="00EB6086"/>
    <w:rsid w:val="00EC1DC1"/>
    <w:rsid w:val="00ED114D"/>
    <w:rsid w:val="00EE2DE5"/>
    <w:rsid w:val="00EF4EA1"/>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9CD37-87DD-4F67-A4B6-6940F8AB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6060</Words>
  <Characters>34542</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40521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Gottlieb, Paul (CONTR)</cp:lastModifiedBy>
  <cp:revision>3</cp:revision>
  <cp:lastPrinted>2015-08-03T14:19:00Z</cp:lastPrinted>
  <dcterms:created xsi:type="dcterms:W3CDTF">2020-10-25T13:27:00Z</dcterms:created>
  <dcterms:modified xsi:type="dcterms:W3CDTF">2020-10-27T14:39:00Z</dcterms:modified>
</cp:coreProperties>
</file>