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D52" w:rsidRPr="00C50AF7" w:rsidRDefault="004E5D52" w:rsidP="004E5D52">
      <w:pPr>
        <w:jc w:val="center"/>
        <w:rPr>
          <w:rFonts w:asciiTheme="minorHAnsi" w:hAnsiTheme="minorHAnsi"/>
          <w:b/>
          <w:bCs/>
          <w:sz w:val="28"/>
          <w:szCs w:val="28"/>
          <w:u w:val="single"/>
        </w:rPr>
      </w:pPr>
      <w:r w:rsidRPr="00C50AF7">
        <w:rPr>
          <w:rFonts w:asciiTheme="minorHAnsi" w:hAnsiTheme="minorHAnsi"/>
          <w:b/>
          <w:bCs/>
          <w:sz w:val="28"/>
          <w:szCs w:val="28"/>
          <w:u w:val="single"/>
        </w:rPr>
        <w:t xml:space="preserve">ATTACHMENT 2: </w:t>
      </w:r>
    </w:p>
    <w:p w:rsidR="004E5D52" w:rsidRPr="00C50AF7" w:rsidRDefault="004E5D52" w:rsidP="004E5D52">
      <w:pPr>
        <w:jc w:val="center"/>
        <w:rPr>
          <w:rFonts w:asciiTheme="minorHAnsi" w:hAnsiTheme="minorHAnsi"/>
          <w:b/>
          <w:bCs/>
          <w:sz w:val="28"/>
          <w:szCs w:val="28"/>
          <w:u w:val="single"/>
        </w:rPr>
      </w:pPr>
    </w:p>
    <w:p w:rsidR="004E5D52" w:rsidRPr="00C50AF7" w:rsidRDefault="004E5D52" w:rsidP="004E5D52">
      <w:pPr>
        <w:jc w:val="center"/>
        <w:rPr>
          <w:rFonts w:asciiTheme="minorHAnsi" w:hAnsiTheme="minorHAnsi"/>
          <w:b/>
          <w:bCs/>
          <w:sz w:val="28"/>
          <w:szCs w:val="28"/>
          <w:u w:val="single"/>
        </w:rPr>
      </w:pPr>
      <w:r w:rsidRPr="00C50AF7">
        <w:rPr>
          <w:rFonts w:asciiTheme="minorHAnsi" w:hAnsiTheme="minorHAnsi"/>
          <w:b/>
          <w:bCs/>
          <w:sz w:val="28"/>
          <w:szCs w:val="28"/>
          <w:u w:val="single"/>
        </w:rPr>
        <w:t>ARPA-E I</w:t>
      </w:r>
      <w:r w:rsidR="00C76ECF" w:rsidRPr="00C50AF7">
        <w:rPr>
          <w:rFonts w:asciiTheme="minorHAnsi" w:hAnsiTheme="minorHAnsi"/>
          <w:b/>
          <w:bCs/>
          <w:sz w:val="28"/>
          <w:szCs w:val="28"/>
          <w:u w:val="single"/>
        </w:rPr>
        <w:t>NTELLECTUAL PROPERTY PROVISIONS</w:t>
      </w:r>
    </w:p>
    <w:p w:rsidR="00730028" w:rsidRDefault="00C76ECF" w:rsidP="004E5D52">
      <w:pPr>
        <w:jc w:val="center"/>
        <w:rPr>
          <w:rFonts w:asciiTheme="minorHAnsi" w:hAnsiTheme="minorHAnsi"/>
          <w:b/>
          <w:bCs/>
          <w:sz w:val="28"/>
          <w:szCs w:val="28"/>
          <w:u w:val="single"/>
        </w:rPr>
      </w:pPr>
      <w:r w:rsidRPr="00C50AF7">
        <w:rPr>
          <w:rFonts w:asciiTheme="minorHAnsi" w:hAnsiTheme="minorHAnsi"/>
          <w:b/>
          <w:bCs/>
          <w:sz w:val="28"/>
          <w:szCs w:val="28"/>
          <w:u w:val="single"/>
        </w:rPr>
        <w:t xml:space="preserve">FOR </w:t>
      </w:r>
      <w:r w:rsidR="00730028">
        <w:rPr>
          <w:rFonts w:asciiTheme="minorHAnsi" w:hAnsiTheme="minorHAnsi"/>
          <w:b/>
          <w:bCs/>
          <w:sz w:val="28"/>
          <w:szCs w:val="28"/>
          <w:u w:val="single"/>
        </w:rPr>
        <w:t xml:space="preserve">SBIR/STTR </w:t>
      </w:r>
      <w:r w:rsidR="003E01B3">
        <w:rPr>
          <w:rFonts w:asciiTheme="minorHAnsi" w:hAnsiTheme="minorHAnsi"/>
          <w:b/>
          <w:bCs/>
          <w:sz w:val="28"/>
          <w:szCs w:val="28"/>
          <w:u w:val="single"/>
        </w:rPr>
        <w:t>SUB</w:t>
      </w:r>
      <w:r w:rsidR="00730028">
        <w:rPr>
          <w:rFonts w:asciiTheme="minorHAnsi" w:hAnsiTheme="minorHAnsi"/>
          <w:b/>
          <w:bCs/>
          <w:sz w:val="28"/>
          <w:szCs w:val="28"/>
          <w:u w:val="single"/>
        </w:rPr>
        <w:t>AWARDS</w:t>
      </w:r>
    </w:p>
    <w:p w:rsidR="004E5D52" w:rsidRPr="00C50AF7" w:rsidRDefault="00730028" w:rsidP="004E5D52">
      <w:pPr>
        <w:jc w:val="center"/>
        <w:rPr>
          <w:rFonts w:asciiTheme="minorHAnsi" w:hAnsiTheme="minorHAnsi"/>
          <w:b/>
          <w:bCs/>
          <w:sz w:val="28"/>
          <w:szCs w:val="28"/>
          <w:u w:val="single"/>
        </w:rPr>
      </w:pPr>
      <w:r>
        <w:rPr>
          <w:rFonts w:asciiTheme="minorHAnsi" w:hAnsiTheme="minorHAnsi"/>
          <w:b/>
          <w:bCs/>
          <w:sz w:val="28"/>
          <w:szCs w:val="28"/>
          <w:u w:val="single"/>
        </w:rPr>
        <w:t>(</w:t>
      </w:r>
      <w:r w:rsidR="004E5D52" w:rsidRPr="00C50AF7">
        <w:rPr>
          <w:rFonts w:asciiTheme="minorHAnsi" w:hAnsiTheme="minorHAnsi"/>
          <w:b/>
          <w:bCs/>
          <w:sz w:val="28"/>
          <w:szCs w:val="28"/>
          <w:u w:val="single"/>
        </w:rPr>
        <w:t>DOMESTIC UNIVERSITIES AND NONPROFIT ORGANIZATIONS</w:t>
      </w:r>
      <w:r>
        <w:rPr>
          <w:rFonts w:asciiTheme="minorHAnsi" w:hAnsiTheme="minorHAnsi"/>
          <w:b/>
          <w:bCs/>
          <w:sz w:val="28"/>
          <w:szCs w:val="28"/>
          <w:u w:val="single"/>
        </w:rPr>
        <w:t>)</w:t>
      </w:r>
    </w:p>
    <w:p w:rsidR="004E5D52" w:rsidRPr="00C50AF7" w:rsidRDefault="004E5D52" w:rsidP="004E5D52">
      <w:pPr>
        <w:jc w:val="center"/>
        <w:rPr>
          <w:rFonts w:asciiTheme="minorHAnsi" w:hAnsiTheme="minorHAnsi"/>
          <w:b/>
          <w:bCs/>
          <w:sz w:val="24"/>
          <w:szCs w:val="24"/>
        </w:rPr>
      </w:pPr>
    </w:p>
    <w:p w:rsidR="004E5D52" w:rsidRDefault="004E5D52" w:rsidP="004E5D52">
      <w:pPr>
        <w:jc w:val="center"/>
        <w:rPr>
          <w:rFonts w:asciiTheme="minorHAnsi" w:hAnsiTheme="minorHAnsi"/>
          <w:b/>
          <w:bCs/>
          <w:sz w:val="24"/>
          <w:szCs w:val="24"/>
        </w:rPr>
      </w:pPr>
    </w:p>
    <w:p w:rsidR="00FD3D0D" w:rsidRDefault="00FD3D0D" w:rsidP="004E5D52">
      <w:pPr>
        <w:jc w:val="center"/>
        <w:rPr>
          <w:rFonts w:asciiTheme="minorHAnsi" w:hAnsiTheme="minorHAnsi"/>
          <w:b/>
          <w:bCs/>
          <w:sz w:val="24"/>
          <w:szCs w:val="24"/>
        </w:rPr>
      </w:pPr>
    </w:p>
    <w:p w:rsidR="00FD3D0D" w:rsidRPr="00C50AF7" w:rsidRDefault="00FD3D0D" w:rsidP="004E5D52">
      <w:pPr>
        <w:jc w:val="center"/>
        <w:rPr>
          <w:rFonts w:asciiTheme="minorHAnsi" w:hAnsiTheme="minorHAnsi"/>
          <w:b/>
          <w:bCs/>
          <w:sz w:val="24"/>
          <w:szCs w:val="24"/>
        </w:rPr>
      </w:pPr>
    </w:p>
    <w:p w:rsidR="003E01B3" w:rsidRPr="00710395" w:rsidRDefault="004E5D52" w:rsidP="003E01B3">
      <w:pPr>
        <w:pStyle w:val="CM1"/>
        <w:numPr>
          <w:ilvl w:val="0"/>
          <w:numId w:val="9"/>
        </w:numPr>
        <w:ind w:left="720" w:hanging="720"/>
        <w:rPr>
          <w:rFonts w:asciiTheme="minorHAnsi" w:hAnsiTheme="minorHAnsi"/>
        </w:rPr>
      </w:pPr>
      <w:r w:rsidRPr="003E01B3">
        <w:rPr>
          <w:rFonts w:asciiTheme="minorHAnsi" w:hAnsiTheme="minorHAnsi"/>
        </w:rPr>
        <w:t xml:space="preserve"> </w:t>
      </w:r>
      <w:r w:rsidR="003E01B3">
        <w:rPr>
          <w:rFonts w:asciiTheme="minorHAnsi" w:hAnsiTheme="minorHAnsi"/>
        </w:rPr>
        <w:t xml:space="preserve">FAR 52.227-20 Rights in Data – SBIR Program </w:t>
      </w:r>
    </w:p>
    <w:p w:rsidR="00625AEC" w:rsidRPr="003E01B3" w:rsidRDefault="00625AEC" w:rsidP="003E01B3">
      <w:pPr>
        <w:pStyle w:val="Default"/>
        <w:ind w:left="720"/>
        <w:rPr>
          <w:rFonts w:asciiTheme="minorHAnsi" w:hAnsiTheme="minorHAnsi"/>
        </w:rPr>
      </w:pPr>
    </w:p>
    <w:p w:rsidR="004E5D52" w:rsidRPr="00C50AF7" w:rsidRDefault="004E5D52" w:rsidP="004E5D52">
      <w:pPr>
        <w:pStyle w:val="CM1"/>
        <w:numPr>
          <w:ilvl w:val="0"/>
          <w:numId w:val="9"/>
        </w:numPr>
        <w:ind w:left="720" w:hanging="720"/>
        <w:rPr>
          <w:rFonts w:asciiTheme="minorHAnsi" w:hAnsiTheme="minorHAnsi"/>
        </w:rPr>
      </w:pPr>
      <w:r w:rsidRPr="00C50AF7">
        <w:rPr>
          <w:rFonts w:asciiTheme="minorHAnsi" w:hAnsiTheme="minorHAnsi"/>
          <w:bCs/>
        </w:rPr>
        <w:t>37 CFR 401.14 Patent Rights (Nonprofit Organizations</w:t>
      </w:r>
      <w:r w:rsidR="00685408">
        <w:rPr>
          <w:rFonts w:asciiTheme="minorHAnsi" w:hAnsiTheme="minorHAnsi"/>
          <w:bCs/>
        </w:rPr>
        <w:t xml:space="preserve">) </w:t>
      </w:r>
    </w:p>
    <w:p w:rsidR="004E5D52" w:rsidRPr="00C50AF7" w:rsidRDefault="004E5D52" w:rsidP="004E5D52">
      <w:pPr>
        <w:pStyle w:val="Default"/>
        <w:rPr>
          <w:rFonts w:asciiTheme="minorHAnsi" w:hAnsiTheme="minorHAnsi" w:cs="Times New Roman"/>
          <w:color w:val="auto"/>
        </w:rPr>
      </w:pPr>
    </w:p>
    <w:p w:rsidR="004E5D52" w:rsidRDefault="004E5D52" w:rsidP="00AF056B">
      <w:pPr>
        <w:pStyle w:val="Default"/>
        <w:ind w:left="720"/>
        <w:rPr>
          <w:rFonts w:asciiTheme="minorHAnsi" w:hAnsiTheme="minorHAnsi" w:cs="Times New Roman"/>
          <w:color w:val="auto"/>
        </w:rPr>
      </w:pPr>
    </w:p>
    <w:p w:rsidR="00FD3D0D" w:rsidRDefault="00FD3D0D" w:rsidP="00AF056B">
      <w:pPr>
        <w:pStyle w:val="Default"/>
        <w:ind w:left="720"/>
        <w:rPr>
          <w:rFonts w:asciiTheme="minorHAnsi" w:hAnsiTheme="minorHAnsi" w:cs="Times New Roman"/>
          <w:color w:val="auto"/>
        </w:rPr>
      </w:pPr>
    </w:p>
    <w:p w:rsidR="00FD3D0D" w:rsidRPr="00C50AF7" w:rsidRDefault="00FD3D0D" w:rsidP="00AF056B">
      <w:pPr>
        <w:pStyle w:val="Default"/>
        <w:ind w:left="720"/>
        <w:rPr>
          <w:rFonts w:asciiTheme="minorHAnsi" w:hAnsiTheme="minorHAnsi" w:cs="Times New Roman"/>
          <w:color w:val="auto"/>
        </w:rPr>
      </w:pPr>
    </w:p>
    <w:p w:rsidR="00A95F53" w:rsidRPr="00C50AF7" w:rsidRDefault="002E7AF7">
      <w:pPr>
        <w:widowControl/>
        <w:autoSpaceDE/>
        <w:autoSpaceDN/>
        <w:adjustRightInd/>
        <w:spacing w:after="200" w:line="276" w:lineRule="auto"/>
        <w:rPr>
          <w:rFonts w:asciiTheme="minorHAnsi" w:hAnsiTheme="minorHAnsi"/>
          <w:b/>
          <w:sz w:val="24"/>
          <w:szCs w:val="24"/>
        </w:rPr>
      </w:pPr>
      <w:r w:rsidRPr="00FD3D0D">
        <w:rPr>
          <w:rFonts w:asciiTheme="minorHAnsi" w:hAnsiTheme="minorHAnsi"/>
          <w:sz w:val="24"/>
          <w:szCs w:val="24"/>
        </w:rPr>
        <w:t xml:space="preserve">NOTE: Please refer to Attachment 4 (ARPA-E Reporting Checklist and Instructions) </w:t>
      </w:r>
      <w:r w:rsidR="006800D5" w:rsidRPr="00FD3D0D">
        <w:rPr>
          <w:rFonts w:asciiTheme="minorHAnsi" w:hAnsiTheme="minorHAnsi"/>
          <w:sz w:val="24"/>
          <w:szCs w:val="24"/>
        </w:rPr>
        <w:t xml:space="preserve">to ARPA-E Award No. DE-AR000_________ </w:t>
      </w:r>
      <w:r w:rsidRPr="00FD3D0D">
        <w:rPr>
          <w:rFonts w:asciiTheme="minorHAnsi" w:hAnsiTheme="minorHAnsi"/>
          <w:sz w:val="24"/>
          <w:szCs w:val="24"/>
        </w:rPr>
        <w:t xml:space="preserve">for guidance on complying with the intellectual property reporting </w:t>
      </w:r>
      <w:r w:rsidR="00BD1F52" w:rsidRPr="00FD3D0D">
        <w:rPr>
          <w:rFonts w:asciiTheme="minorHAnsi" w:hAnsiTheme="minorHAnsi"/>
          <w:sz w:val="24"/>
          <w:szCs w:val="24"/>
        </w:rPr>
        <w:t>obligations referenced herein.</w:t>
      </w:r>
      <w:r w:rsidR="00A95F53" w:rsidRPr="00C50AF7">
        <w:rPr>
          <w:rFonts w:asciiTheme="minorHAnsi" w:hAnsiTheme="minorHAnsi"/>
          <w:b/>
          <w:sz w:val="24"/>
          <w:szCs w:val="24"/>
        </w:rPr>
        <w:br w:type="page"/>
      </w:r>
      <w:bookmarkStart w:id="0" w:name="_GoBack"/>
      <w:bookmarkEnd w:id="0"/>
    </w:p>
    <w:p w:rsidR="003E01B3" w:rsidRPr="00710395" w:rsidRDefault="003E01B3" w:rsidP="003E01B3">
      <w:pPr>
        <w:pStyle w:val="CM16"/>
        <w:spacing w:line="240" w:lineRule="atLeast"/>
        <w:ind w:left="720" w:right="945" w:hanging="720"/>
        <w:rPr>
          <w:rFonts w:asciiTheme="minorHAnsi" w:hAnsiTheme="minorHAnsi"/>
          <w:b/>
        </w:rPr>
      </w:pPr>
      <w:r>
        <w:rPr>
          <w:rFonts w:asciiTheme="minorHAnsi" w:hAnsiTheme="minorHAnsi"/>
          <w:b/>
        </w:rPr>
        <w:lastRenderedPageBreak/>
        <w:t>1.</w:t>
      </w:r>
      <w:r>
        <w:rPr>
          <w:rFonts w:asciiTheme="minorHAnsi" w:hAnsiTheme="minorHAnsi"/>
          <w:b/>
        </w:rPr>
        <w:tab/>
      </w:r>
      <w:r w:rsidRPr="003824E2">
        <w:rPr>
          <w:rFonts w:asciiTheme="minorHAnsi" w:hAnsiTheme="minorHAnsi"/>
          <w:b/>
        </w:rPr>
        <w:t xml:space="preserve">FAR 52.227-20 Rights in Data – SBIR Program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3E01B3" w:rsidRDefault="003E01B3" w:rsidP="003E01B3">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(1) Means </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lastRenderedPageBreak/>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 Data specifically identified in this contract as data to be delivered without restriction;</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w:t>
      </w:r>
      <w:proofErr w:type="gramStart"/>
      <w:r w:rsidRPr="003824E2">
        <w:rPr>
          <w:rFonts w:asciiTheme="minorHAnsi" w:hAnsiTheme="minorHAnsi"/>
        </w:rPr>
        <w:t>ii</w:t>
      </w:r>
      <w:proofErr w:type="gramEnd"/>
      <w:r w:rsidRPr="003824E2">
        <w:rPr>
          <w:rFonts w:asciiTheme="minorHAnsi" w:hAnsiTheme="minorHAnsi"/>
        </w:rPr>
        <w:t>) Form, fit, and function data delivered under this contract;</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E01B3" w:rsidRPr="003824E2" w:rsidRDefault="003E01B3" w:rsidP="003E01B3">
      <w:pPr>
        <w:pStyle w:val="CM16"/>
        <w:spacing w:line="240" w:lineRule="atLeast"/>
        <w:ind w:left="720" w:firstLine="720"/>
        <w:rPr>
          <w:rFonts w:asciiTheme="minorHAnsi" w:hAnsiTheme="minorHAnsi"/>
        </w:rPr>
      </w:pPr>
      <w:proofErr w:type="gramStart"/>
      <w:r w:rsidRPr="003824E2">
        <w:rPr>
          <w:rFonts w:asciiTheme="minorHAnsi" w:hAnsiTheme="minorHAnsi"/>
        </w:rPr>
        <w:t>(iv) All</w:t>
      </w:r>
      <w:proofErr w:type="gramEnd"/>
      <w:r w:rsidRPr="003824E2">
        <w:rPr>
          <w:rFonts w:asciiTheme="minorHAnsi" w:hAnsiTheme="minorHAnsi"/>
        </w:rPr>
        <w:t xml:space="preserve"> other data delivered under this contract unless provided otherwise for SBIR data in accordance with paragraph (d) of this clause or for limited rights data or restricted computer software in accordance with paragraph (f) of this clause.</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w:t>
      </w:r>
      <w:proofErr w:type="gramStart"/>
      <w:r w:rsidRPr="003824E2">
        <w:rPr>
          <w:rFonts w:asciiTheme="minorHAnsi" w:hAnsiTheme="minorHAnsi"/>
        </w:rPr>
        <w:t>i</w:t>
      </w:r>
      <w:proofErr w:type="gramEnd"/>
      <w:r w:rsidRPr="003824E2">
        <w:rPr>
          <w:rFonts w:asciiTheme="minorHAnsi" w:hAnsiTheme="minorHAnsi"/>
        </w:rPr>
        <w:t>) Assert copyright in data first produced in the performance of this contract to the extent provided in paragraph (c)(1) of this clause;</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 xml:space="preserve">(ii) Protect SBIR rights in SBIR data delivered under this contract in the manner </w:t>
      </w:r>
      <w:r w:rsidRPr="003824E2">
        <w:rPr>
          <w:rFonts w:asciiTheme="minorHAnsi" w:hAnsiTheme="minorHAnsi"/>
        </w:rPr>
        <w:lastRenderedPageBreak/>
        <w:t>and to the extent provided in paragraph (d) of this clause;</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E01B3" w:rsidRPr="003824E2" w:rsidRDefault="003E01B3" w:rsidP="003E01B3">
      <w:pPr>
        <w:pStyle w:val="CM16"/>
        <w:spacing w:line="240" w:lineRule="atLeast"/>
        <w:ind w:left="720" w:firstLine="720"/>
        <w:rPr>
          <w:rFonts w:asciiTheme="minorHAnsi" w:hAnsiTheme="minorHAnsi"/>
        </w:rPr>
      </w:pPr>
      <w:proofErr w:type="gramStart"/>
      <w:r w:rsidRPr="003824E2">
        <w:rPr>
          <w:rFonts w:asciiTheme="minorHAnsi" w:hAnsiTheme="minorHAnsi"/>
        </w:rPr>
        <w:t>(iv) Withhold</w:t>
      </w:r>
      <w:proofErr w:type="gramEnd"/>
      <w:r w:rsidRPr="003824E2">
        <w:rPr>
          <w:rFonts w:asciiTheme="minorHAnsi" w:hAnsiTheme="minorHAnsi"/>
        </w:rPr>
        <w:t xml:space="preserve"> from delivery those data which are limited rights data or restricted computer software to the extent provided in paragraph (f) of this clause.</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by or on behalf of the Government.</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rsidR="003E01B3" w:rsidRDefault="003E01B3" w:rsidP="003E01B3">
      <w:pPr>
        <w:pStyle w:val="CM16"/>
        <w:spacing w:line="240" w:lineRule="atLeast"/>
        <w:ind w:left="720" w:firstLine="720"/>
        <w:rPr>
          <w:rFonts w:asciiTheme="minorHAnsi" w:hAnsiTheme="minorHAnsi"/>
        </w:rPr>
      </w:pPr>
      <w:r w:rsidRPr="003824E2">
        <w:rPr>
          <w:rFonts w:asciiTheme="minorHAnsi" w:hAnsiTheme="minorHAnsi"/>
        </w:rPr>
        <w:t xml:space="preserve">(i) </w:t>
      </w:r>
      <w:proofErr w:type="gramStart"/>
      <w:r w:rsidRPr="003824E2">
        <w:rPr>
          <w:rFonts w:asciiTheme="minorHAnsi" w:hAnsiTheme="minorHAnsi"/>
        </w:rPr>
        <w:t>identifies</w:t>
      </w:r>
      <w:proofErr w:type="gramEnd"/>
      <w:r w:rsidRPr="003824E2">
        <w:rPr>
          <w:rFonts w:asciiTheme="minorHAnsi" w:hAnsiTheme="minorHAnsi"/>
        </w:rPr>
        <w:t xml:space="preserve"> such data and </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w:t>
      </w:r>
      <w:proofErr w:type="gramStart"/>
      <w:r w:rsidRPr="003824E2">
        <w:rPr>
          <w:rFonts w:asciiTheme="minorHAnsi" w:hAnsiTheme="minorHAnsi"/>
        </w:rPr>
        <w:t>ii</w:t>
      </w:r>
      <w:proofErr w:type="gramEnd"/>
      <w:r w:rsidRPr="003824E2">
        <w:rPr>
          <w:rFonts w:asciiTheme="minorHAnsi" w:hAnsiTheme="minorHAnsi"/>
        </w:rPr>
        <w:t>) grants to the Government, or acquires on its behalf, a license of the same scope as set forth in paragraph (c)(1) of this clause.</w:t>
      </w:r>
    </w:p>
    <w:p w:rsidR="003E01B3"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3E01B3" w:rsidRPr="00772AC5" w:rsidRDefault="003E01B3" w:rsidP="003E01B3">
      <w:pPr>
        <w:pStyle w:val="CM16"/>
        <w:spacing w:line="240" w:lineRule="atLeast"/>
        <w:rPr>
          <w:rFonts w:asciiTheme="minorHAnsi" w:hAnsiTheme="minorHAnsi"/>
        </w:rPr>
      </w:pPr>
      <w:r w:rsidRPr="003824E2">
        <w:rPr>
          <w:rFonts w:asciiTheme="minorHAnsi" w:hAnsiTheme="minorHAnsi"/>
        </w:rPr>
        <w:lastRenderedPageBreak/>
        <w:t xml:space="preserve">(d) </w:t>
      </w:r>
      <w:r w:rsidRPr="00772AC5">
        <w:rPr>
          <w:rFonts w:asciiTheme="minorHAnsi" w:hAnsiTheme="minorHAnsi"/>
          <w:iCs/>
        </w:rPr>
        <w:t>Rights to SBIR data.</w:t>
      </w:r>
      <w:r w:rsidRPr="00772AC5">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E01B3" w:rsidRPr="003824E2" w:rsidRDefault="003E01B3" w:rsidP="003E01B3">
      <w:pPr>
        <w:pStyle w:val="CM16"/>
        <w:spacing w:line="240" w:lineRule="atLeast"/>
        <w:jc w:val="center"/>
        <w:rPr>
          <w:rFonts w:asciiTheme="minorHAnsi" w:hAnsiTheme="minorHAnsi"/>
        </w:rPr>
      </w:pPr>
      <w:r w:rsidRPr="003824E2">
        <w:rPr>
          <w:rFonts w:asciiTheme="minorHAnsi" w:hAnsiTheme="minorHAnsi"/>
        </w:rPr>
        <w:t>SBIR Rights Notice</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Pr>
          <w:rFonts w:asciiTheme="minorHAnsi" w:hAnsiTheme="minorHAnsi"/>
        </w:rPr>
        <w:t>[Award</w:t>
      </w:r>
      <w:r w:rsidRPr="003824E2">
        <w:rPr>
          <w:rFonts w:asciiTheme="minorHAnsi" w:hAnsiTheme="minorHAnsi"/>
        </w:rPr>
        <w:t xml:space="preserve"> No.</w:t>
      </w:r>
      <w:r w:rsidRPr="00772AC5">
        <w:rPr>
          <w:rFonts w:asciiTheme="minorHAnsi" w:hAnsiTheme="minorHAnsi"/>
        </w:rPr>
        <w:t xml:space="preserve"> </w:t>
      </w:r>
      <w:r w:rsidRPr="003824E2">
        <w:rPr>
          <w:rFonts w:asciiTheme="minorHAnsi" w:hAnsiTheme="minorHAnsi"/>
        </w:rPr>
        <w:t>________</w:t>
      </w:r>
      <w:r>
        <w:rPr>
          <w:rFonts w:asciiTheme="minorHAnsi" w:hAnsiTheme="minorHAnsi"/>
        </w:rPr>
        <w:t xml:space="preserve"> </w:t>
      </w:r>
      <w:proofErr w:type="gramStart"/>
      <w:r>
        <w:rPr>
          <w:rFonts w:asciiTheme="minorHAnsi" w:hAnsiTheme="minorHAnsi"/>
        </w:rPr>
        <w:t>or</w:t>
      </w:r>
      <w:proofErr w:type="gramEnd"/>
      <w:r>
        <w:rPr>
          <w:rFonts w:asciiTheme="minorHAnsi" w:hAnsiTheme="minorHAnsi"/>
        </w:rPr>
        <w:t xml:space="preserve"> a </w:t>
      </w:r>
      <w:proofErr w:type="spellStart"/>
      <w:r>
        <w:rPr>
          <w:rFonts w:asciiTheme="minorHAnsi" w:hAnsiTheme="minorHAnsi"/>
        </w:rPr>
        <w:t>subaward</w:t>
      </w:r>
      <w:proofErr w:type="spellEnd"/>
      <w:r>
        <w:rPr>
          <w:rFonts w:asciiTheme="minorHAnsi" w:hAnsiTheme="minorHAnsi"/>
        </w:rPr>
        <w:t xml:space="preserve"> under Award No.</w:t>
      </w:r>
      <w:r w:rsidRPr="003824E2">
        <w:rPr>
          <w:rFonts w:asciiTheme="minorHAnsi" w:hAnsiTheme="minorHAnsi"/>
        </w:rPr>
        <w:t xml:space="preserve">________ </w:t>
      </w:r>
      <w:r>
        <w:rPr>
          <w:rFonts w:asciiTheme="minorHAnsi" w:hAnsiTheme="minorHAnsi"/>
        </w:rPr>
        <w:t>]</w:t>
      </w:r>
      <w:r w:rsidRPr="003824E2">
        <w:rPr>
          <w:rFonts w:asciiTheme="minorHAnsi" w:hAnsiTheme="minorHAnsi"/>
        </w:rPr>
        <w:t xml:space="preserve">. For a period of 4 years, unless extended in accordance with FAR 27.409(h), after acceptance of all items to be delivered under this </w:t>
      </w:r>
      <w:r>
        <w:rPr>
          <w:rFonts w:asciiTheme="minorHAnsi" w:hAnsiTheme="minorHAnsi"/>
        </w:rPr>
        <w:t xml:space="preserve">[Award or </w:t>
      </w:r>
      <w:proofErr w:type="spellStart"/>
      <w:r>
        <w:rPr>
          <w:rFonts w:asciiTheme="minorHAnsi" w:hAnsiTheme="minorHAnsi"/>
        </w:rPr>
        <w:t>subaward</w:t>
      </w:r>
      <w:proofErr w:type="spellEnd"/>
      <w:r>
        <w:rPr>
          <w:rFonts w:asciiTheme="minorHAnsi" w:hAnsiTheme="minorHAnsi"/>
        </w:rPr>
        <w:t>]</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Pr>
          <w:rFonts w:asciiTheme="minorHAnsi" w:hAnsiTheme="minorHAnsi"/>
        </w:rPr>
        <w:t>c</w:t>
      </w:r>
      <w:r w:rsidRPr="003824E2">
        <w:rPr>
          <w:rFonts w:asciiTheme="minorHAnsi" w:hAnsiTheme="minorHAnsi"/>
        </w:rPr>
        <w:t>ontractors.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3E01B3" w:rsidRDefault="003E01B3" w:rsidP="003E01B3">
      <w:pPr>
        <w:pStyle w:val="CM16"/>
        <w:spacing w:line="240" w:lineRule="atLeast"/>
        <w:rPr>
          <w:rFonts w:asciiTheme="minorHAnsi" w:hAnsiTheme="minorHAnsi"/>
        </w:rPr>
      </w:pPr>
      <w:r w:rsidRPr="003824E2">
        <w:rPr>
          <w:rFonts w:asciiTheme="minorHAnsi" w:hAnsiTheme="minorHAnsi"/>
        </w:rPr>
        <w:t>(End of notice)</w:t>
      </w:r>
    </w:p>
    <w:p w:rsidR="003E01B3" w:rsidRPr="00D1460E" w:rsidRDefault="003E01B3" w:rsidP="003E01B3">
      <w:pPr>
        <w:ind w:firstLine="720"/>
        <w:rPr>
          <w:rFonts w:asciiTheme="minorHAnsi" w:hAnsiTheme="minorHAnsi"/>
          <w:sz w:val="24"/>
          <w:szCs w:val="24"/>
        </w:rPr>
      </w:pPr>
      <w:r w:rsidRPr="00D1460E">
        <w:rPr>
          <w:rFonts w:asciiTheme="minorHAnsi" w:hAnsiTheme="minorHAnsi"/>
          <w:sz w:val="24"/>
          <w:szCs w:val="24"/>
        </w:rPr>
        <w:t xml:space="preserve">(2)  However, the Recipient agrees that the following types of data are not considered to be SBIR data and shall be provided to the Government when required by this award without any claim that the data are SBIR data. The parties agree that notwithstanding the following lists of types of data, nothing precludes the Government from seeking delivery of additional data in accordance with this award, or from making publicly available additional non-SBIR data, nor does the following list constitute any admission by the Government that technical data not on the list is SBIR data.  </w:t>
      </w:r>
    </w:p>
    <w:p w:rsidR="003E01B3" w:rsidRPr="00D1460E" w:rsidRDefault="003E01B3" w:rsidP="003E01B3">
      <w:pPr>
        <w:ind w:firstLine="720"/>
        <w:rPr>
          <w:rFonts w:asciiTheme="minorHAnsi" w:hAnsiTheme="minorHAnsi"/>
        </w:rPr>
      </w:pPr>
      <w:r w:rsidRPr="00D1460E" w:rsidDel="00AF275B">
        <w:rPr>
          <w:rFonts w:asciiTheme="minorHAnsi" w:hAnsiTheme="minorHAnsi"/>
        </w:rPr>
        <w:t xml:space="preserve"> </w:t>
      </w:r>
    </w:p>
    <w:p w:rsidR="003E01B3" w:rsidRPr="00DD249B" w:rsidRDefault="003E01B3" w:rsidP="003E01B3">
      <w:pPr>
        <w:pStyle w:val="Default"/>
        <w:rPr>
          <w:rFonts w:asciiTheme="minorHAnsi" w:hAnsiTheme="minorHAnsi" w:cs="Times New Roman"/>
          <w:color w:val="auto"/>
        </w:rPr>
      </w:pPr>
      <w:r w:rsidRPr="00DD249B">
        <w:rPr>
          <w:rFonts w:asciiTheme="minorHAnsi" w:hAnsiTheme="minorHAnsi" w:cs="Times New Roman"/>
          <w:color w:val="auto"/>
        </w:rPr>
        <w:t>[</w:t>
      </w:r>
      <w:proofErr w:type="gramStart"/>
      <w:r w:rsidRPr="00DD249B">
        <w:rPr>
          <w:rFonts w:asciiTheme="minorHAnsi" w:hAnsiTheme="minorHAnsi" w:cs="Times New Roman"/>
          <w:color w:val="auto"/>
        </w:rPr>
        <w:t>insert</w:t>
      </w:r>
      <w:proofErr w:type="gramEnd"/>
      <w:r w:rsidR="00DD249B">
        <w:rPr>
          <w:rFonts w:asciiTheme="minorHAnsi" w:hAnsiTheme="minorHAnsi" w:cs="Times New Roman"/>
          <w:color w:val="auto"/>
        </w:rPr>
        <w:t xml:space="preserve"> data list</w:t>
      </w:r>
      <w:r w:rsidRPr="00DD249B">
        <w:rPr>
          <w:rFonts w:asciiTheme="minorHAnsi" w:hAnsiTheme="minorHAnsi" w:cs="Times New Roman"/>
          <w:color w:val="auto"/>
        </w:rPr>
        <w:t>]</w:t>
      </w:r>
    </w:p>
    <w:p w:rsidR="003E01B3" w:rsidRDefault="003E01B3" w:rsidP="003E01B3">
      <w:pPr>
        <w:pStyle w:val="Default"/>
      </w:pPr>
    </w:p>
    <w:p w:rsidR="003E01B3" w:rsidRPr="00AF275B" w:rsidRDefault="003E01B3" w:rsidP="003E01B3">
      <w:pPr>
        <w:pStyle w:val="Default"/>
      </w:pP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w:t>
      </w:r>
      <w:r>
        <w:rPr>
          <w:rFonts w:asciiTheme="minorHAnsi" w:hAnsiTheme="minorHAnsi"/>
        </w:rPr>
        <w:t>3</w:t>
      </w:r>
      <w:r w:rsidRPr="003824E2">
        <w:rPr>
          <w:rFonts w:asciiTheme="minorHAnsi" w:hAnsiTheme="minorHAnsi"/>
        </w:rPr>
        <w:t>) The Government's sole obligation with respect to any SBIR data shall be as set forth in this paragraph (d).</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 xml:space="preserve">(2) If the unmarked data has not been disclosed without restriction outside the Government, the Contractor may request, within 6 months (or a longer time approved by the Contracting Officer in writing for good cause shown) after delivery of the data, permission to </w:t>
      </w:r>
      <w:r w:rsidRPr="003824E2">
        <w:rPr>
          <w:rFonts w:asciiTheme="minorHAnsi" w:hAnsiTheme="minorHAnsi"/>
        </w:rPr>
        <w:lastRenderedPageBreak/>
        <w:t>have authorized notices placed on the data at the Contractor's expense, and the Contracting Officer may agree to do so if the Contractor—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w:t>
      </w:r>
      <w:proofErr w:type="gramStart"/>
      <w:r w:rsidRPr="003824E2">
        <w:rPr>
          <w:rFonts w:asciiTheme="minorHAnsi" w:hAnsiTheme="minorHAnsi"/>
        </w:rPr>
        <w:t>i</w:t>
      </w:r>
      <w:proofErr w:type="gramEnd"/>
      <w:r w:rsidRPr="003824E2">
        <w:rPr>
          <w:rFonts w:asciiTheme="minorHAnsi" w:hAnsiTheme="minorHAnsi"/>
        </w:rPr>
        <w:t>) Identifies the data to which the omitted notice is to be applied;</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w:t>
      </w:r>
      <w:proofErr w:type="gramStart"/>
      <w:r w:rsidRPr="003824E2">
        <w:rPr>
          <w:rFonts w:asciiTheme="minorHAnsi" w:hAnsiTheme="minorHAnsi"/>
        </w:rPr>
        <w:t>ii</w:t>
      </w:r>
      <w:proofErr w:type="gramEnd"/>
      <w:r w:rsidRPr="003824E2">
        <w:rPr>
          <w:rFonts w:asciiTheme="minorHAnsi" w:hAnsiTheme="minorHAnsi"/>
        </w:rPr>
        <w:t>) Demonstrates that the omission of the notice was inadvertent;</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E01B3" w:rsidRPr="003824E2" w:rsidRDefault="003E01B3" w:rsidP="003E01B3">
      <w:pPr>
        <w:pStyle w:val="CM16"/>
        <w:spacing w:line="240" w:lineRule="atLeast"/>
        <w:ind w:left="720" w:firstLine="720"/>
        <w:rPr>
          <w:rFonts w:asciiTheme="minorHAnsi" w:hAnsiTheme="minorHAnsi"/>
        </w:rPr>
      </w:pPr>
      <w:proofErr w:type="gramStart"/>
      <w:r w:rsidRPr="003824E2">
        <w:rPr>
          <w:rFonts w:asciiTheme="minorHAnsi" w:hAnsiTheme="minorHAnsi"/>
        </w:rPr>
        <w:t>(iv) Acknowledges</w:t>
      </w:r>
      <w:proofErr w:type="gramEnd"/>
      <w:r w:rsidRPr="003824E2">
        <w:rPr>
          <w:rFonts w:asciiTheme="minorHAnsi" w:hAnsiTheme="minorHAnsi"/>
        </w:rPr>
        <w:t xml:space="preserve"> that the Government has no liability with respect to the disclosure or use of any such data made prior to the addition of the notice or resulting from the omission of the notice.</w:t>
      </w:r>
    </w:p>
    <w:p w:rsidR="003E01B3" w:rsidRPr="003824E2" w:rsidRDefault="003E01B3" w:rsidP="003E01B3">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rsidR="003E01B3" w:rsidRPr="003824E2" w:rsidRDefault="003E01B3" w:rsidP="003E01B3">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rsidR="003E01B3" w:rsidRDefault="003E01B3" w:rsidP="003E01B3">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Pr>
          <w:rFonts w:asciiTheme="minorHAnsi" w:hAnsiTheme="minorHAnsi"/>
        </w:rPr>
        <w:t xml:space="preserve"> </w:t>
      </w:r>
      <w:r w:rsidRPr="00E05069">
        <w:rPr>
          <w:rFonts w:asciiTheme="minorHAnsi" w:hAnsiTheme="minorHAnsi"/>
        </w:rPr>
        <w:t xml:space="preserve">SBIR/STTR rights apply to all SBIR awards, including </w:t>
      </w:r>
      <w:proofErr w:type="spellStart"/>
      <w:r w:rsidRPr="00E05069">
        <w:rPr>
          <w:rFonts w:asciiTheme="minorHAnsi" w:hAnsiTheme="minorHAnsi"/>
        </w:rPr>
        <w:t>subawards</w:t>
      </w:r>
      <w:proofErr w:type="spellEnd"/>
      <w:r w:rsidRPr="00E05069">
        <w:rPr>
          <w:rFonts w:asciiTheme="minorHAnsi" w:hAnsiTheme="minorHAnsi"/>
        </w:rPr>
        <w:t xml:space="preserve"> to such awards that fall within the statutory definition of Phase I, II, or III of the SBIR Program, as described in the Small Business Innovation Research (SBIR) Program Policy Directive.</w:t>
      </w:r>
      <w:r>
        <w:rPr>
          <w:rFonts w:asciiTheme="minorHAnsi" w:hAnsiTheme="minorHAnsi"/>
        </w:rPr>
        <w:t xml:space="preserve">  </w:t>
      </w:r>
      <w:r w:rsidRPr="00710395">
        <w:rPr>
          <w:rFonts w:asciiTheme="minorHAnsi" w:hAnsiTheme="minorHAnsi"/>
        </w:rPr>
        <w:t xml:space="preserve">See Section </w:t>
      </w:r>
      <w:r>
        <w:rPr>
          <w:rFonts w:asciiTheme="minorHAnsi" w:hAnsiTheme="minorHAnsi"/>
        </w:rPr>
        <w:t>6</w:t>
      </w:r>
      <w:r w:rsidRPr="00710395">
        <w:rPr>
          <w:rFonts w:asciiTheme="minorHAnsi" w:hAnsiTheme="minorHAnsi"/>
        </w:rPr>
        <w:t xml:space="preserve"> of this Attachment 2 for instructions regarding intellectual property provisions for </w:t>
      </w:r>
      <w:proofErr w:type="spellStart"/>
      <w:r w:rsidRPr="00710395">
        <w:rPr>
          <w:rFonts w:asciiTheme="minorHAnsi" w:hAnsiTheme="minorHAnsi"/>
        </w:rPr>
        <w:t>subawards</w:t>
      </w:r>
      <w:proofErr w:type="spellEnd"/>
      <w:r w:rsidRPr="00710395">
        <w:rPr>
          <w:rFonts w:asciiTheme="minorHAnsi" w:hAnsiTheme="minorHAnsi"/>
        </w:rPr>
        <w:t xml:space="preserve"> under this agreement.</w:t>
      </w:r>
    </w:p>
    <w:p w:rsidR="003E01B3" w:rsidRDefault="003E01B3" w:rsidP="003E01B3">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rsidR="003E01B3" w:rsidRPr="003824E2" w:rsidRDefault="003E01B3" w:rsidP="003E01B3">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3E01B3" w:rsidRPr="00710395" w:rsidRDefault="003E01B3" w:rsidP="003E01B3">
      <w:pPr>
        <w:pStyle w:val="CM16"/>
        <w:spacing w:line="240" w:lineRule="atLeast"/>
        <w:rPr>
          <w:rFonts w:asciiTheme="minorHAnsi" w:hAnsiTheme="minorHAnsi"/>
        </w:rPr>
      </w:pPr>
      <w:r w:rsidRPr="00C3693A">
        <w:rPr>
          <w:rFonts w:asciiTheme="minorHAnsi" w:hAnsiTheme="minorHAnsi"/>
          <w:bCs/>
        </w:rPr>
        <w:lastRenderedPageBreak/>
        <w:t>(End of clause)</w:t>
      </w:r>
    </w:p>
    <w:p w:rsidR="009A1697" w:rsidRPr="00625AEC" w:rsidRDefault="009A1697" w:rsidP="009A1697">
      <w:pPr>
        <w:pStyle w:val="CM16"/>
        <w:spacing w:line="240" w:lineRule="atLeast"/>
        <w:ind w:left="720" w:right="265" w:hanging="720"/>
        <w:rPr>
          <w:rFonts w:asciiTheme="minorHAnsi" w:hAnsiTheme="minorHAnsi"/>
          <w:b/>
          <w:bCs/>
        </w:rPr>
      </w:pPr>
      <w:r w:rsidRPr="00C50AF7">
        <w:rPr>
          <w:rFonts w:asciiTheme="minorHAnsi" w:hAnsiTheme="minorHAnsi"/>
          <w:b/>
          <w:bCs/>
        </w:rPr>
        <w:t>2.</w:t>
      </w:r>
      <w:r w:rsidRPr="00C50AF7">
        <w:rPr>
          <w:rFonts w:asciiTheme="minorHAnsi" w:hAnsiTheme="minorHAnsi"/>
          <w:b/>
          <w:bCs/>
        </w:rPr>
        <w:tab/>
        <w:t xml:space="preserve">37 CFR 401.14 Patent Rights (Nonprofit Organizations) </w:t>
      </w:r>
    </w:p>
    <w:p w:rsidR="0043174D" w:rsidRPr="00002647" w:rsidRDefault="0043174D" w:rsidP="0043174D">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Definitions</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i/>
          <w:spacing w:val="-1"/>
          <w:sz w:val="24"/>
          <w:szCs w:val="24"/>
        </w:rPr>
        <w:t>Invention</w:t>
      </w:r>
      <w:r w:rsidRPr="00002647">
        <w:rPr>
          <w:rFonts w:asciiTheme="minorHAnsi" w:hAnsiTheme="minorHAnsi" w:cs="Arial"/>
          <w:spacing w:val="-1"/>
          <w:sz w:val="24"/>
          <w:szCs w:val="24"/>
        </w:rPr>
        <w:t xml:space="preserve"> means any invention or discovery which is or may be patentable or otherwise protectable under Title 35 of the United States Code, or any novel variety of plant which is or may be protected under the</w:t>
      </w:r>
      <w:r w:rsidR="00DD249B">
        <w:rPr>
          <w:rFonts w:asciiTheme="minorHAnsi" w:hAnsiTheme="minorHAnsi" w:cs="Arial"/>
          <w:spacing w:val="-1"/>
          <w:sz w:val="24"/>
          <w:szCs w:val="24"/>
        </w:rPr>
        <w:t xml:space="preserve"> Plant Variety Protection Act (</w:t>
      </w:r>
      <w:r w:rsidRPr="00002647">
        <w:rPr>
          <w:rFonts w:asciiTheme="minorHAnsi" w:hAnsiTheme="minorHAnsi" w:cs="Arial"/>
          <w:spacing w:val="-1"/>
          <w:sz w:val="24"/>
          <w:szCs w:val="24"/>
        </w:rPr>
        <w:t>7 U.S.C. 2321et seq.).</w:t>
      </w: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i/>
          <w:spacing w:val="-1"/>
          <w:sz w:val="24"/>
          <w:szCs w:val="24"/>
        </w:rPr>
        <w:t>Subject invention</w:t>
      </w:r>
      <w:r w:rsidRPr="00002647">
        <w:rPr>
          <w:rFonts w:asciiTheme="minorHAnsi" w:hAnsiTheme="minorHAnsi" w:cs="Arial"/>
          <w:spacing w:val="-1"/>
          <w:sz w:val="24"/>
          <w:szCs w:val="24"/>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i/>
          <w:spacing w:val="-1"/>
          <w:sz w:val="24"/>
          <w:szCs w:val="24"/>
        </w:rPr>
        <w:t>Practical Application</w:t>
      </w:r>
      <w:r w:rsidRPr="00002647">
        <w:rPr>
          <w:rFonts w:asciiTheme="minorHAnsi" w:hAnsiTheme="minorHAnsi" w:cs="Arial"/>
          <w:spacing w:val="-1"/>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spacing w:val="-1"/>
          <w:sz w:val="24"/>
          <w:szCs w:val="24"/>
        </w:rPr>
        <w:t>Made when used in relation to any invention means the conception or first actual reduction to practice of such invention.</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i/>
          <w:spacing w:val="-1"/>
          <w:sz w:val="24"/>
          <w:szCs w:val="24"/>
        </w:rPr>
        <w:t>Small Business Firm</w:t>
      </w:r>
      <w:r w:rsidRPr="00002647">
        <w:rPr>
          <w:rFonts w:asciiTheme="minorHAnsi" w:hAnsiTheme="minorHAnsi" w:cs="Arial"/>
          <w:spacing w:val="-1"/>
          <w:sz w:val="24"/>
          <w:szCs w:val="24"/>
        </w:rPr>
        <w:t xml:space="preserve"> means a small business concern as defined at section 2 of Pub. L.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i/>
          <w:spacing w:val="-1"/>
          <w:sz w:val="24"/>
          <w:szCs w:val="24"/>
        </w:rPr>
        <w:t>Nonprofit Organization</w:t>
      </w:r>
      <w:r w:rsidRPr="00002647">
        <w:rPr>
          <w:rFonts w:asciiTheme="minorHAnsi" w:hAnsiTheme="minorHAnsi" w:cs="Arial"/>
          <w:spacing w:val="-1"/>
          <w:sz w:val="24"/>
          <w:szCs w:val="24"/>
        </w:rPr>
        <w:t xml:space="preserve"> means a university or other institution of higher education or an organization of the type described in section 501(c</w:t>
      </w:r>
      <w:proofErr w:type="gramStart"/>
      <w:r w:rsidRPr="00002647">
        <w:rPr>
          <w:rFonts w:asciiTheme="minorHAnsi" w:hAnsiTheme="minorHAnsi" w:cs="Arial"/>
          <w:spacing w:val="-1"/>
          <w:sz w:val="24"/>
          <w:szCs w:val="24"/>
        </w:rPr>
        <w:t>)(</w:t>
      </w:r>
      <w:proofErr w:type="gramEnd"/>
      <w:r w:rsidRPr="00002647">
        <w:rPr>
          <w:rFonts w:asciiTheme="minorHAnsi" w:hAnsiTheme="minorHAnsi" w:cs="Arial"/>
          <w:spacing w:val="-1"/>
          <w:sz w:val="24"/>
          <w:szCs w:val="24"/>
        </w:rPr>
        <w:t xml:space="preserve">3) of the </w:t>
      </w:r>
      <w:r w:rsidR="00DD249B">
        <w:rPr>
          <w:rFonts w:asciiTheme="minorHAnsi" w:hAnsiTheme="minorHAnsi" w:cs="Arial"/>
          <w:spacing w:val="-1"/>
          <w:sz w:val="24"/>
          <w:szCs w:val="24"/>
        </w:rPr>
        <w:t>Internal Revenue Code of 1954 (</w:t>
      </w:r>
      <w:r w:rsidRPr="00002647">
        <w:rPr>
          <w:rFonts w:asciiTheme="minorHAnsi" w:hAnsiTheme="minorHAnsi" w:cs="Arial"/>
          <w:spacing w:val="-1"/>
          <w:sz w:val="24"/>
          <w:szCs w:val="24"/>
        </w:rPr>
        <w:t>26 U.S.C. 501(c) and exempt from taxation under section 501(a)</w:t>
      </w:r>
      <w:r w:rsidR="00DD249B">
        <w:rPr>
          <w:rFonts w:asciiTheme="minorHAnsi" w:hAnsiTheme="minorHAnsi" w:cs="Arial"/>
          <w:spacing w:val="-1"/>
          <w:sz w:val="24"/>
          <w:szCs w:val="24"/>
        </w:rPr>
        <w:t xml:space="preserve"> of the Internal Revenue Code (</w:t>
      </w:r>
      <w:r w:rsidRPr="00002647">
        <w:rPr>
          <w:rFonts w:asciiTheme="minorHAnsi" w:hAnsiTheme="minorHAnsi" w:cs="Arial"/>
          <w:spacing w:val="-1"/>
          <w:sz w:val="24"/>
          <w:szCs w:val="24"/>
        </w:rPr>
        <w:t>25 U.S.C. 501(a)) or any nonprofit scientific or educational organization qualified under a state nonprofit organization statute.</w:t>
      </w:r>
    </w:p>
    <w:p w:rsidR="0043174D" w:rsidRPr="00002647" w:rsidRDefault="0043174D" w:rsidP="0043174D">
      <w:pPr>
        <w:kinsoku w:val="0"/>
        <w:overflowPunct w:val="0"/>
        <w:spacing w:before="2"/>
        <w:rPr>
          <w:rFonts w:asciiTheme="minorHAnsi" w:hAnsiTheme="minorHAnsi" w:cs="Arial"/>
          <w:spacing w:val="-1"/>
          <w:sz w:val="24"/>
          <w:szCs w:val="24"/>
        </w:rPr>
      </w:pPr>
      <w:r w:rsidRPr="00002647">
        <w:rPr>
          <w:rFonts w:asciiTheme="minorHAnsi" w:hAnsiTheme="minorHAnsi" w:cs="Arial"/>
          <w:spacing w:val="-1"/>
          <w:sz w:val="24"/>
          <w:szCs w:val="24"/>
        </w:rPr>
        <w:t xml:space="preserve"> </w:t>
      </w: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i/>
          <w:spacing w:val="-1"/>
          <w:sz w:val="24"/>
          <w:szCs w:val="24"/>
        </w:rPr>
        <w:t>The term statutory period</w:t>
      </w:r>
      <w:r w:rsidRPr="00002647">
        <w:rPr>
          <w:rFonts w:asciiTheme="minorHAnsi" w:hAnsiTheme="minorHAnsi" w:cs="Arial"/>
          <w:spacing w:val="-1"/>
          <w:sz w:val="24"/>
          <w:szCs w:val="24"/>
        </w:rPr>
        <w:t xml:space="preserve"> means the one-year period before the effective filing date of a claimed invention during which exceptions to prior art exist per 35 U.S.C. 102(b) as amended by the Leahy-Smith America Invents Act, Public Law 112-29.</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i/>
          <w:spacing w:val="-1"/>
          <w:sz w:val="24"/>
          <w:szCs w:val="24"/>
        </w:rPr>
        <w:t>The term contractor</w:t>
      </w:r>
      <w:r w:rsidRPr="00002647">
        <w:rPr>
          <w:rFonts w:asciiTheme="minorHAnsi" w:hAnsiTheme="minorHAnsi" w:cs="Arial"/>
          <w:spacing w:val="-1"/>
          <w:sz w:val="24"/>
          <w:szCs w:val="24"/>
        </w:rPr>
        <w:t xml:space="preserve"> means any person, small business firm or nonprofit organization, or, as set forth in section 1, paragraph (b</w:t>
      </w:r>
      <w:proofErr w:type="gramStart"/>
      <w:r w:rsidRPr="00002647">
        <w:rPr>
          <w:rFonts w:asciiTheme="minorHAnsi" w:hAnsiTheme="minorHAnsi" w:cs="Arial"/>
          <w:spacing w:val="-1"/>
          <w:sz w:val="24"/>
          <w:szCs w:val="24"/>
        </w:rPr>
        <w:t>)(</w:t>
      </w:r>
      <w:proofErr w:type="gramEnd"/>
      <w:r w:rsidRPr="00002647">
        <w:rPr>
          <w:rFonts w:asciiTheme="minorHAnsi" w:hAnsiTheme="minorHAnsi" w:cs="Arial"/>
          <w:spacing w:val="-1"/>
          <w:sz w:val="24"/>
          <w:szCs w:val="24"/>
        </w:rPr>
        <w:t>4) of Executive Order 12591, as amended, any business firm regardless of size, which is a party to a funding agreement.</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lastRenderedPageBreak/>
        <w:t>Allocation of Principal Rights</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spacing w:val="-1"/>
          <w:sz w:val="24"/>
          <w:szCs w:val="24"/>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Invention Disclosure, Election of Title and Filing of Patent Application by Contractor</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pStyle w:val="ListParagraph"/>
        <w:numPr>
          <w:ilvl w:val="0"/>
          <w:numId w:val="12"/>
        </w:numPr>
        <w:kinsoku w:val="0"/>
        <w:overflowPunct w:val="0"/>
        <w:spacing w:before="2"/>
        <w:rPr>
          <w:rFonts w:asciiTheme="minorHAnsi" w:hAnsiTheme="minorHAnsi" w:cs="Arial"/>
          <w:spacing w:val="-1"/>
        </w:rPr>
      </w:pPr>
      <w:r w:rsidRPr="00002647">
        <w:rPr>
          <w:rFonts w:asciiTheme="minorHAnsi" w:hAnsiTheme="minorHAnsi" w:cs="Arial"/>
          <w:spacing w:val="-1"/>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pStyle w:val="ListParagraph"/>
        <w:numPr>
          <w:ilvl w:val="0"/>
          <w:numId w:val="12"/>
        </w:numPr>
        <w:kinsoku w:val="0"/>
        <w:overflowPunct w:val="0"/>
        <w:spacing w:before="2"/>
        <w:rPr>
          <w:rFonts w:asciiTheme="minorHAnsi" w:hAnsiTheme="minorHAnsi" w:cs="Arial"/>
          <w:spacing w:val="-1"/>
        </w:rPr>
      </w:pPr>
      <w:r w:rsidRPr="00002647">
        <w:rPr>
          <w:rFonts w:asciiTheme="minorHAnsi" w:hAnsiTheme="minorHAnsi" w:cs="Arial"/>
          <w:spacing w:val="-1"/>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pStyle w:val="ListParagraph"/>
        <w:numPr>
          <w:ilvl w:val="0"/>
          <w:numId w:val="12"/>
        </w:numPr>
        <w:kinsoku w:val="0"/>
        <w:overflowPunct w:val="0"/>
        <w:spacing w:before="2"/>
        <w:rPr>
          <w:rFonts w:asciiTheme="minorHAnsi" w:hAnsiTheme="minorHAnsi" w:cs="Arial"/>
          <w:spacing w:val="-1"/>
        </w:rPr>
      </w:pPr>
      <w:r w:rsidRPr="00002647">
        <w:rPr>
          <w:rFonts w:asciiTheme="minorHAnsi" w:hAnsiTheme="minorHAnsi" w:cs="Arial"/>
          <w:spacing w:val="-1"/>
        </w:rPr>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kinsoku w:val="0"/>
        <w:overflowPunct w:val="0"/>
        <w:spacing w:before="2"/>
        <w:ind w:left="1080" w:hanging="360"/>
        <w:rPr>
          <w:rFonts w:asciiTheme="minorHAnsi" w:hAnsiTheme="minorHAnsi" w:cs="Arial"/>
          <w:spacing w:val="-1"/>
          <w:sz w:val="24"/>
          <w:szCs w:val="24"/>
        </w:rPr>
      </w:pPr>
      <w:r w:rsidRPr="00002647">
        <w:rPr>
          <w:rFonts w:asciiTheme="minorHAnsi" w:hAnsiTheme="minorHAnsi" w:cs="Arial"/>
          <w:spacing w:val="-1"/>
          <w:sz w:val="24"/>
          <w:szCs w:val="24"/>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DD249B">
        <w:rPr>
          <w:rFonts w:asciiTheme="minorHAnsi" w:hAnsiTheme="minorHAnsi" w:cs="Arial"/>
          <w:spacing w:val="-1"/>
          <w:sz w:val="24"/>
          <w:szCs w:val="24"/>
        </w:rPr>
        <w:t xml:space="preserve"> </w:t>
      </w:r>
      <w:r w:rsidRPr="00002647">
        <w:rPr>
          <w:rFonts w:asciiTheme="minorHAnsi" w:hAnsiTheme="minorHAnsi" w:cs="Arial"/>
          <w:spacing w:val="-1"/>
          <w:sz w:val="24"/>
          <w:szCs w:val="24"/>
        </w:rPr>
        <w:t>35 U.S.C. 202(a).</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pStyle w:val="ListParagraph"/>
        <w:numPr>
          <w:ilvl w:val="0"/>
          <w:numId w:val="13"/>
        </w:numPr>
        <w:tabs>
          <w:tab w:val="left" w:pos="1170"/>
        </w:tabs>
        <w:kinsoku w:val="0"/>
        <w:overflowPunct w:val="0"/>
        <w:spacing w:before="2"/>
        <w:rPr>
          <w:rFonts w:asciiTheme="minorHAnsi" w:hAnsiTheme="minorHAnsi" w:cs="Arial"/>
          <w:spacing w:val="-1"/>
        </w:rPr>
      </w:pPr>
      <w:r w:rsidRPr="00002647">
        <w:rPr>
          <w:rFonts w:asciiTheme="minorHAnsi" w:hAnsiTheme="minorHAnsi" w:cs="Arial"/>
          <w:spacing w:val="-1"/>
        </w:rPr>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rsidR="0043174D" w:rsidRPr="00002647" w:rsidRDefault="0043174D" w:rsidP="0043174D">
      <w:pPr>
        <w:pStyle w:val="ListParagraph"/>
        <w:tabs>
          <w:tab w:val="left" w:pos="1170"/>
        </w:tabs>
        <w:kinsoku w:val="0"/>
        <w:overflowPunct w:val="0"/>
        <w:spacing w:before="2"/>
        <w:ind w:left="1080"/>
        <w:rPr>
          <w:rFonts w:asciiTheme="minorHAnsi" w:hAnsiTheme="minorHAnsi" w:cs="Arial"/>
          <w:spacing w:val="-1"/>
        </w:rPr>
      </w:pPr>
    </w:p>
    <w:p w:rsidR="0043174D" w:rsidRPr="00002647" w:rsidRDefault="0043174D" w:rsidP="0043174D">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Conditions When the Government May Obtain Title</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spacing w:val="-1"/>
          <w:sz w:val="24"/>
          <w:szCs w:val="24"/>
        </w:rPr>
        <w:t>The contractor will convey to the Federal agency, upon written request, title to any subject invention:</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pStyle w:val="ListParagraph"/>
        <w:numPr>
          <w:ilvl w:val="0"/>
          <w:numId w:val="14"/>
        </w:numPr>
        <w:kinsoku w:val="0"/>
        <w:overflowPunct w:val="0"/>
        <w:spacing w:before="2"/>
        <w:ind w:left="1080"/>
        <w:rPr>
          <w:rFonts w:asciiTheme="minorHAnsi" w:hAnsiTheme="minorHAnsi" w:cs="Arial"/>
          <w:spacing w:val="-1"/>
        </w:rPr>
      </w:pPr>
      <w:r w:rsidRPr="00002647">
        <w:rPr>
          <w:rFonts w:asciiTheme="minorHAnsi" w:hAnsiTheme="minorHAnsi" w:cs="Arial"/>
          <w:spacing w:val="-1"/>
        </w:rPr>
        <w:t>If the contractor fails to disclose or elect title to the subject invention within the times specified in paragraph (c) of this clause, or elects not to retain title.</w:t>
      </w:r>
    </w:p>
    <w:p w:rsidR="0043174D" w:rsidRPr="00002647" w:rsidRDefault="0043174D" w:rsidP="0043174D">
      <w:pPr>
        <w:kinsoku w:val="0"/>
        <w:overflowPunct w:val="0"/>
        <w:spacing w:before="2"/>
        <w:ind w:left="1080"/>
        <w:rPr>
          <w:rFonts w:asciiTheme="minorHAnsi" w:hAnsiTheme="minorHAnsi" w:cs="Arial"/>
          <w:spacing w:val="-1"/>
          <w:sz w:val="24"/>
          <w:szCs w:val="24"/>
        </w:rPr>
      </w:pPr>
    </w:p>
    <w:p w:rsidR="0043174D" w:rsidRPr="00002647" w:rsidRDefault="0043174D" w:rsidP="0043174D">
      <w:pPr>
        <w:pStyle w:val="ListParagraph"/>
        <w:numPr>
          <w:ilvl w:val="0"/>
          <w:numId w:val="14"/>
        </w:numPr>
        <w:kinsoku w:val="0"/>
        <w:overflowPunct w:val="0"/>
        <w:spacing w:before="2"/>
        <w:ind w:left="1080"/>
        <w:rPr>
          <w:rFonts w:asciiTheme="minorHAnsi" w:hAnsiTheme="minorHAnsi" w:cs="Arial"/>
          <w:spacing w:val="-1"/>
        </w:rPr>
      </w:pPr>
      <w:r w:rsidRPr="00002647">
        <w:rPr>
          <w:rFonts w:asciiTheme="minorHAnsi" w:hAnsiTheme="minorHAnsi" w:cs="Arial"/>
          <w:spacing w:val="-1"/>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43174D" w:rsidRPr="00002647" w:rsidRDefault="0043174D" w:rsidP="0043174D">
      <w:pPr>
        <w:kinsoku w:val="0"/>
        <w:overflowPunct w:val="0"/>
        <w:spacing w:before="2"/>
        <w:ind w:left="1080"/>
        <w:rPr>
          <w:rFonts w:asciiTheme="minorHAnsi" w:hAnsiTheme="minorHAnsi" w:cs="Arial"/>
          <w:spacing w:val="-1"/>
          <w:sz w:val="24"/>
          <w:szCs w:val="24"/>
        </w:rPr>
      </w:pPr>
    </w:p>
    <w:p w:rsidR="0043174D" w:rsidRPr="00002647" w:rsidRDefault="0043174D" w:rsidP="0043174D">
      <w:pPr>
        <w:pStyle w:val="ListParagraph"/>
        <w:numPr>
          <w:ilvl w:val="0"/>
          <w:numId w:val="14"/>
        </w:numPr>
        <w:kinsoku w:val="0"/>
        <w:overflowPunct w:val="0"/>
        <w:spacing w:before="2"/>
        <w:ind w:left="1080"/>
        <w:rPr>
          <w:rFonts w:asciiTheme="minorHAnsi" w:hAnsiTheme="minorHAnsi" w:cs="Arial"/>
          <w:spacing w:val="-1"/>
        </w:rPr>
      </w:pPr>
      <w:r w:rsidRPr="00002647">
        <w:rPr>
          <w:rFonts w:asciiTheme="minorHAnsi" w:hAnsiTheme="minorHAnsi" w:cs="Arial"/>
          <w:spacing w:val="-1"/>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43174D" w:rsidRPr="00002647" w:rsidRDefault="0043174D" w:rsidP="0043174D">
      <w:pPr>
        <w:pStyle w:val="ListParagraph"/>
        <w:rPr>
          <w:rFonts w:asciiTheme="minorHAnsi" w:hAnsiTheme="minorHAnsi" w:cs="Arial"/>
          <w:spacing w:val="-1"/>
        </w:rPr>
      </w:pPr>
    </w:p>
    <w:p w:rsidR="0043174D" w:rsidRPr="00002647" w:rsidRDefault="0043174D" w:rsidP="0043174D">
      <w:pPr>
        <w:pStyle w:val="ListParagraph"/>
        <w:kinsoku w:val="0"/>
        <w:overflowPunct w:val="0"/>
        <w:spacing w:before="2"/>
        <w:ind w:left="1080"/>
        <w:rPr>
          <w:rFonts w:asciiTheme="minorHAnsi" w:hAnsiTheme="minorHAnsi" w:cs="Arial"/>
          <w:spacing w:val="-1"/>
        </w:rPr>
      </w:pPr>
    </w:p>
    <w:p w:rsidR="0043174D" w:rsidRPr="00002647" w:rsidRDefault="0043174D" w:rsidP="0043174D">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Minimum Rights to Contractor and Protection of the Contractor Right to File</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pStyle w:val="ListParagraph"/>
        <w:numPr>
          <w:ilvl w:val="0"/>
          <w:numId w:val="15"/>
        </w:numPr>
        <w:kinsoku w:val="0"/>
        <w:overflowPunct w:val="0"/>
        <w:spacing w:before="2"/>
        <w:ind w:left="1080"/>
        <w:rPr>
          <w:rFonts w:asciiTheme="minorHAnsi" w:hAnsiTheme="minorHAnsi" w:cs="Arial"/>
          <w:spacing w:val="-1"/>
        </w:rPr>
      </w:pPr>
      <w:r w:rsidRPr="00002647">
        <w:rPr>
          <w:rFonts w:asciiTheme="minorHAnsi" w:hAnsiTheme="minorHAnsi" w:cs="Arial"/>
          <w:spacing w:val="-1"/>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w:t>
      </w:r>
      <w:r w:rsidRPr="00002647">
        <w:rPr>
          <w:rFonts w:asciiTheme="minorHAnsi" w:hAnsiTheme="minorHAnsi" w:cs="Arial"/>
          <w:spacing w:val="-1"/>
        </w:rPr>
        <w:lastRenderedPageBreak/>
        <w:t xml:space="preserve">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pStyle w:val="ListParagraph"/>
        <w:numPr>
          <w:ilvl w:val="0"/>
          <w:numId w:val="15"/>
        </w:numPr>
        <w:kinsoku w:val="0"/>
        <w:overflowPunct w:val="0"/>
        <w:spacing w:before="2"/>
        <w:ind w:left="1080"/>
        <w:rPr>
          <w:rFonts w:asciiTheme="minorHAnsi" w:hAnsiTheme="minorHAnsi" w:cs="Arial"/>
          <w:spacing w:val="-1"/>
        </w:rPr>
      </w:pPr>
      <w:r w:rsidRPr="00002647">
        <w:rPr>
          <w:rFonts w:asciiTheme="minorHAnsi" w:hAnsiTheme="minorHAnsi" w:cs="Arial"/>
          <w:spacing w:val="-1"/>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43174D" w:rsidRPr="00002647" w:rsidRDefault="0043174D" w:rsidP="0043174D">
      <w:pPr>
        <w:kinsoku w:val="0"/>
        <w:overflowPunct w:val="0"/>
        <w:spacing w:before="2"/>
        <w:ind w:left="1080"/>
        <w:rPr>
          <w:rFonts w:asciiTheme="minorHAnsi" w:hAnsiTheme="minorHAnsi" w:cs="Arial"/>
          <w:spacing w:val="-1"/>
          <w:sz w:val="24"/>
          <w:szCs w:val="24"/>
        </w:rPr>
      </w:pPr>
    </w:p>
    <w:p w:rsidR="0043174D" w:rsidRPr="00002647" w:rsidRDefault="0043174D" w:rsidP="0043174D">
      <w:pPr>
        <w:pStyle w:val="ListParagraph"/>
        <w:numPr>
          <w:ilvl w:val="0"/>
          <w:numId w:val="15"/>
        </w:numPr>
        <w:kinsoku w:val="0"/>
        <w:overflowPunct w:val="0"/>
        <w:spacing w:before="2"/>
        <w:ind w:left="1080"/>
        <w:rPr>
          <w:rFonts w:asciiTheme="minorHAnsi" w:hAnsiTheme="minorHAnsi" w:cs="Arial"/>
          <w:spacing w:val="-1"/>
        </w:rPr>
      </w:pPr>
      <w:r w:rsidRPr="00002647">
        <w:rPr>
          <w:rFonts w:asciiTheme="minorHAnsi" w:hAnsiTheme="minorHAnsi" w:cs="Arial"/>
          <w:spacing w:val="-1"/>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43174D" w:rsidRPr="00002647" w:rsidRDefault="0043174D" w:rsidP="0043174D">
      <w:pPr>
        <w:kinsoku w:val="0"/>
        <w:overflowPunct w:val="0"/>
        <w:spacing w:before="2"/>
        <w:ind w:left="1080"/>
        <w:rPr>
          <w:rFonts w:asciiTheme="minorHAnsi" w:hAnsiTheme="minorHAnsi" w:cs="Arial"/>
          <w:spacing w:val="-1"/>
          <w:sz w:val="24"/>
          <w:szCs w:val="24"/>
        </w:rPr>
      </w:pPr>
    </w:p>
    <w:p w:rsidR="0043174D" w:rsidRPr="00002647" w:rsidRDefault="0043174D" w:rsidP="0043174D">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Contractor Action to Protect the Government's Interest</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pStyle w:val="ListParagraph"/>
        <w:numPr>
          <w:ilvl w:val="0"/>
          <w:numId w:val="16"/>
        </w:numPr>
        <w:kinsoku w:val="0"/>
        <w:overflowPunct w:val="0"/>
        <w:spacing w:before="2"/>
        <w:ind w:left="1080"/>
        <w:rPr>
          <w:rFonts w:asciiTheme="minorHAnsi" w:hAnsiTheme="minorHAnsi" w:cs="Arial"/>
          <w:spacing w:val="-1"/>
        </w:rPr>
      </w:pPr>
      <w:r w:rsidRPr="00002647">
        <w:rPr>
          <w:rFonts w:asciiTheme="minorHAnsi" w:hAnsiTheme="minorHAnsi" w:cs="Arial"/>
          <w:spacing w:val="-1"/>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rsidR="0043174D" w:rsidRPr="00002647" w:rsidRDefault="0043174D" w:rsidP="0043174D">
      <w:pPr>
        <w:kinsoku w:val="0"/>
        <w:overflowPunct w:val="0"/>
        <w:spacing w:before="2"/>
        <w:ind w:left="1080"/>
        <w:rPr>
          <w:rFonts w:asciiTheme="minorHAnsi" w:hAnsiTheme="minorHAnsi" w:cs="Arial"/>
          <w:spacing w:val="-1"/>
          <w:sz w:val="24"/>
          <w:szCs w:val="24"/>
        </w:rPr>
      </w:pPr>
    </w:p>
    <w:p w:rsidR="0043174D" w:rsidRPr="00002647" w:rsidRDefault="0043174D" w:rsidP="0043174D">
      <w:pPr>
        <w:pStyle w:val="ListParagraph"/>
        <w:numPr>
          <w:ilvl w:val="0"/>
          <w:numId w:val="16"/>
        </w:numPr>
        <w:kinsoku w:val="0"/>
        <w:overflowPunct w:val="0"/>
        <w:spacing w:before="2"/>
        <w:ind w:left="1080"/>
        <w:rPr>
          <w:rFonts w:asciiTheme="minorHAnsi" w:hAnsiTheme="minorHAnsi" w:cs="Arial"/>
          <w:spacing w:val="-1"/>
        </w:rPr>
      </w:pPr>
      <w:r w:rsidRPr="00002647">
        <w:rPr>
          <w:rFonts w:asciiTheme="minorHAnsi" w:hAnsiTheme="minorHAnsi" w:cs="Arial"/>
          <w:spacing w:val="-1"/>
        </w:rPr>
        <w:t xml:space="preserve">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w:t>
      </w:r>
      <w:r w:rsidRPr="00002647">
        <w:rPr>
          <w:rFonts w:asciiTheme="minorHAnsi" w:hAnsiTheme="minorHAnsi" w:cs="Arial"/>
          <w:spacing w:val="-1"/>
        </w:rPr>
        <w:lastRenderedPageBreak/>
        <w:t>patent applications on subject inventions and to establish the government's rights in the subject inventions. This disclosure format should require, as a minimum, the information required by paragraph (c</w:t>
      </w:r>
      <w:proofErr w:type="gramStart"/>
      <w:r w:rsidRPr="00002647">
        <w:rPr>
          <w:rFonts w:asciiTheme="minorHAnsi" w:hAnsiTheme="minorHAnsi" w:cs="Arial"/>
          <w:spacing w:val="-1"/>
        </w:rPr>
        <w:t>)(</w:t>
      </w:r>
      <w:proofErr w:type="gramEnd"/>
      <w:r w:rsidRPr="00002647">
        <w:rPr>
          <w:rFonts w:asciiTheme="minorHAnsi" w:hAnsiTheme="minorHAnsi" w:cs="Arial"/>
          <w:spacing w:val="-1"/>
        </w:rPr>
        <w:t>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43174D" w:rsidRPr="00002647" w:rsidRDefault="0043174D" w:rsidP="0043174D">
      <w:pPr>
        <w:kinsoku w:val="0"/>
        <w:overflowPunct w:val="0"/>
        <w:spacing w:before="2"/>
        <w:ind w:left="1080"/>
        <w:rPr>
          <w:rFonts w:asciiTheme="minorHAnsi" w:hAnsiTheme="minorHAnsi" w:cs="Arial"/>
          <w:spacing w:val="-1"/>
          <w:sz w:val="24"/>
          <w:szCs w:val="24"/>
        </w:rPr>
      </w:pPr>
    </w:p>
    <w:p w:rsidR="0043174D" w:rsidRPr="00002647" w:rsidRDefault="0043174D" w:rsidP="0043174D">
      <w:pPr>
        <w:pStyle w:val="ListParagraph"/>
        <w:numPr>
          <w:ilvl w:val="0"/>
          <w:numId w:val="16"/>
        </w:numPr>
        <w:tabs>
          <w:tab w:val="left" w:pos="1350"/>
        </w:tabs>
        <w:kinsoku w:val="0"/>
        <w:overflowPunct w:val="0"/>
        <w:spacing w:before="2"/>
        <w:ind w:left="1080"/>
        <w:rPr>
          <w:rFonts w:asciiTheme="minorHAnsi" w:hAnsiTheme="minorHAnsi" w:cs="Arial"/>
          <w:spacing w:val="-1"/>
        </w:rPr>
      </w:pPr>
      <w:r w:rsidRPr="00002647">
        <w:rPr>
          <w:rFonts w:asciiTheme="minorHAnsi" w:hAnsiTheme="minorHAnsi" w:cs="Arial"/>
          <w:spacing w:val="-1"/>
        </w:rPr>
        <w:t xml:space="preserve">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002647">
        <w:rPr>
          <w:rFonts w:asciiTheme="minorHAnsi" w:hAnsiTheme="minorHAnsi" w:cs="Arial"/>
          <w:spacing w:val="-1"/>
        </w:rPr>
        <w:t>partes</w:t>
      </w:r>
      <w:proofErr w:type="spellEnd"/>
      <w:r w:rsidRPr="00002647">
        <w:rPr>
          <w:rFonts w:asciiTheme="minorHAnsi" w:hAnsiTheme="minorHAnsi" w:cs="Arial"/>
          <w:spacing w:val="-1"/>
        </w:rPr>
        <w:t xml:space="preserve">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43174D" w:rsidRPr="00002647" w:rsidRDefault="0043174D" w:rsidP="0043174D">
      <w:pPr>
        <w:kinsoku w:val="0"/>
        <w:overflowPunct w:val="0"/>
        <w:spacing w:before="2"/>
        <w:ind w:left="1080"/>
        <w:rPr>
          <w:rFonts w:asciiTheme="minorHAnsi" w:hAnsiTheme="minorHAnsi" w:cs="Arial"/>
          <w:spacing w:val="-1"/>
          <w:sz w:val="24"/>
          <w:szCs w:val="24"/>
        </w:rPr>
      </w:pPr>
    </w:p>
    <w:p w:rsidR="0043174D" w:rsidRPr="00002647" w:rsidRDefault="0043174D" w:rsidP="0043174D">
      <w:pPr>
        <w:pStyle w:val="ListParagraph"/>
        <w:numPr>
          <w:ilvl w:val="0"/>
          <w:numId w:val="16"/>
        </w:numPr>
        <w:kinsoku w:val="0"/>
        <w:overflowPunct w:val="0"/>
        <w:spacing w:before="2"/>
        <w:ind w:left="1080"/>
        <w:rPr>
          <w:rFonts w:asciiTheme="minorHAnsi" w:hAnsiTheme="minorHAnsi" w:cs="Arial"/>
          <w:spacing w:val="-1"/>
        </w:rPr>
      </w:pPr>
      <w:r w:rsidRPr="00002647">
        <w:rPr>
          <w:rFonts w:asciiTheme="minorHAnsi" w:hAnsiTheme="minorHAnsi" w:cs="Arial"/>
          <w:spacing w:val="-1"/>
        </w:rPr>
        <w:t>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certain rights in the invention.”</w:t>
      </w:r>
    </w:p>
    <w:p w:rsidR="0043174D" w:rsidRPr="00002647" w:rsidRDefault="0043174D" w:rsidP="0043174D">
      <w:pPr>
        <w:kinsoku w:val="0"/>
        <w:overflowPunct w:val="0"/>
        <w:spacing w:before="2"/>
        <w:ind w:left="1080"/>
        <w:rPr>
          <w:rFonts w:asciiTheme="minorHAnsi" w:hAnsiTheme="minorHAnsi" w:cs="Arial"/>
          <w:spacing w:val="-1"/>
          <w:sz w:val="24"/>
          <w:szCs w:val="24"/>
        </w:rPr>
      </w:pPr>
    </w:p>
    <w:p w:rsidR="0043174D" w:rsidRPr="00002647" w:rsidRDefault="0043174D" w:rsidP="0043174D">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Subcontracts</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pStyle w:val="ListParagraph"/>
        <w:numPr>
          <w:ilvl w:val="0"/>
          <w:numId w:val="17"/>
        </w:numPr>
        <w:kinsoku w:val="0"/>
        <w:overflowPunct w:val="0"/>
        <w:spacing w:before="2"/>
        <w:ind w:left="1080"/>
        <w:rPr>
          <w:rFonts w:asciiTheme="minorHAnsi" w:hAnsiTheme="minorHAnsi" w:cs="Arial"/>
          <w:spacing w:val="-1"/>
        </w:rPr>
      </w:pPr>
      <w:r w:rsidRPr="00002647">
        <w:rPr>
          <w:rFonts w:asciiTheme="minorHAnsi" w:hAnsiTheme="minorHAnsi" w:cs="Arial"/>
          <w:spacing w:val="-1"/>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43174D" w:rsidRPr="00002647" w:rsidRDefault="0043174D" w:rsidP="0043174D">
      <w:pPr>
        <w:kinsoku w:val="0"/>
        <w:overflowPunct w:val="0"/>
        <w:spacing w:before="2"/>
        <w:ind w:left="1080"/>
        <w:rPr>
          <w:rFonts w:asciiTheme="minorHAnsi" w:hAnsiTheme="minorHAnsi" w:cs="Arial"/>
          <w:spacing w:val="-1"/>
          <w:sz w:val="24"/>
          <w:szCs w:val="24"/>
        </w:rPr>
      </w:pPr>
    </w:p>
    <w:p w:rsidR="0043174D" w:rsidRPr="00002647" w:rsidRDefault="0043174D" w:rsidP="0043174D">
      <w:pPr>
        <w:pStyle w:val="ListParagraph"/>
        <w:numPr>
          <w:ilvl w:val="0"/>
          <w:numId w:val="17"/>
        </w:numPr>
        <w:kinsoku w:val="0"/>
        <w:overflowPunct w:val="0"/>
        <w:spacing w:before="2"/>
        <w:ind w:left="1080"/>
        <w:rPr>
          <w:rFonts w:asciiTheme="minorHAnsi" w:hAnsiTheme="minorHAnsi" w:cs="Arial"/>
          <w:spacing w:val="-1"/>
        </w:rPr>
      </w:pPr>
      <w:r w:rsidRPr="00002647">
        <w:rPr>
          <w:rFonts w:asciiTheme="minorHAnsi" w:hAnsiTheme="minorHAnsi" w:cs="Arial"/>
          <w:spacing w:val="-1"/>
        </w:rPr>
        <w:t>The contractor will include in all other subcontracts, regardless of tier, for experimental developmental or research work the patent rights clause required by 2 CFR 910.362(c).</w:t>
      </w:r>
    </w:p>
    <w:p w:rsidR="0043174D" w:rsidRPr="00002647" w:rsidRDefault="0043174D" w:rsidP="0043174D">
      <w:pPr>
        <w:kinsoku w:val="0"/>
        <w:overflowPunct w:val="0"/>
        <w:spacing w:before="2"/>
        <w:ind w:left="1080"/>
        <w:rPr>
          <w:rFonts w:asciiTheme="minorHAnsi" w:hAnsiTheme="minorHAnsi" w:cs="Arial"/>
          <w:spacing w:val="-1"/>
          <w:sz w:val="24"/>
          <w:szCs w:val="24"/>
        </w:rPr>
      </w:pPr>
    </w:p>
    <w:p w:rsidR="0043174D" w:rsidRPr="00002647" w:rsidRDefault="0043174D" w:rsidP="0043174D">
      <w:pPr>
        <w:pStyle w:val="ListParagraph"/>
        <w:numPr>
          <w:ilvl w:val="0"/>
          <w:numId w:val="17"/>
        </w:numPr>
        <w:kinsoku w:val="0"/>
        <w:overflowPunct w:val="0"/>
        <w:spacing w:before="2"/>
        <w:ind w:left="1080"/>
        <w:rPr>
          <w:rFonts w:asciiTheme="minorHAnsi" w:hAnsiTheme="minorHAnsi" w:cs="Arial"/>
          <w:spacing w:val="-1"/>
        </w:rPr>
      </w:pPr>
      <w:r w:rsidRPr="00002647">
        <w:rPr>
          <w:rFonts w:asciiTheme="minorHAnsi" w:hAnsiTheme="minorHAnsi" w:cs="Arial"/>
          <w:spacing w:val="-1"/>
        </w:rPr>
        <w:t xml:space="preserve">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w:t>
      </w:r>
      <w:r w:rsidRPr="00002647">
        <w:rPr>
          <w:rFonts w:asciiTheme="minorHAnsi" w:hAnsiTheme="minorHAnsi" w:cs="Arial"/>
          <w:spacing w:val="-1"/>
        </w:rPr>
        <w:lastRenderedPageBreak/>
        <w:t>however, that nothing in this paragraph is intended to confer any jurisdiction under the Contract Disputes Act in connection with proceedings under paragraph (j) of this clause.</w:t>
      </w:r>
    </w:p>
    <w:p w:rsidR="0043174D" w:rsidRPr="00002647" w:rsidRDefault="0043174D" w:rsidP="0043174D">
      <w:pPr>
        <w:kinsoku w:val="0"/>
        <w:overflowPunct w:val="0"/>
        <w:spacing w:before="2"/>
        <w:ind w:left="1080"/>
        <w:rPr>
          <w:rFonts w:asciiTheme="minorHAnsi" w:hAnsiTheme="minorHAnsi" w:cs="Arial"/>
          <w:spacing w:val="-1"/>
          <w:sz w:val="24"/>
          <w:szCs w:val="24"/>
        </w:rPr>
      </w:pPr>
    </w:p>
    <w:p w:rsidR="0043174D" w:rsidRPr="00002647" w:rsidRDefault="0043174D" w:rsidP="0043174D">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Reporting on Utilization of Subject Inventions</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spacing w:val="-1"/>
          <w:sz w:val="24"/>
          <w:szCs w:val="24"/>
        </w:rPr>
        <w:t>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35 U.S.C. 202(c</w:t>
      </w:r>
      <w:proofErr w:type="gramStart"/>
      <w:r w:rsidRPr="00002647">
        <w:rPr>
          <w:rFonts w:asciiTheme="minorHAnsi" w:hAnsiTheme="minorHAnsi" w:cs="Arial"/>
          <w:spacing w:val="-1"/>
          <w:sz w:val="24"/>
          <w:szCs w:val="24"/>
        </w:rPr>
        <w:t>)(</w:t>
      </w:r>
      <w:proofErr w:type="gramEnd"/>
      <w:r w:rsidRPr="00002647">
        <w:rPr>
          <w:rFonts w:asciiTheme="minorHAnsi" w:hAnsiTheme="minorHAnsi" w:cs="Arial"/>
          <w:spacing w:val="-1"/>
          <w:sz w:val="24"/>
          <w:szCs w:val="24"/>
        </w:rPr>
        <w:t>5), the agency agrees it will not disclose such information to persons outside the government without permission of the contractor.</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Preference for United States Industry</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spacing w:val="-1"/>
          <w:sz w:val="24"/>
          <w:szCs w:val="24"/>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March-in Rights</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kinsoku w:val="0"/>
        <w:overflowPunct w:val="0"/>
        <w:spacing w:before="2"/>
        <w:ind w:left="720"/>
        <w:rPr>
          <w:rFonts w:asciiTheme="minorHAnsi" w:hAnsiTheme="minorHAnsi" w:cs="Arial"/>
          <w:spacing w:val="-1"/>
          <w:sz w:val="24"/>
          <w:szCs w:val="24"/>
        </w:rPr>
      </w:pPr>
      <w:r w:rsidRPr="00002647">
        <w:rPr>
          <w:rFonts w:asciiTheme="minorHAnsi" w:hAnsiTheme="minorHAnsi" w:cs="Arial"/>
          <w:spacing w:val="-1"/>
          <w:sz w:val="24"/>
          <w:szCs w:val="24"/>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pStyle w:val="ListParagraph"/>
        <w:numPr>
          <w:ilvl w:val="0"/>
          <w:numId w:val="18"/>
        </w:numPr>
        <w:kinsoku w:val="0"/>
        <w:overflowPunct w:val="0"/>
        <w:spacing w:before="2"/>
        <w:rPr>
          <w:rFonts w:asciiTheme="minorHAnsi" w:hAnsiTheme="minorHAnsi" w:cs="Arial"/>
          <w:spacing w:val="-1"/>
        </w:rPr>
      </w:pPr>
      <w:r w:rsidRPr="00002647">
        <w:rPr>
          <w:rFonts w:asciiTheme="minorHAnsi" w:hAnsiTheme="minorHAnsi" w:cs="Arial"/>
          <w:spacing w:val="-1"/>
        </w:rPr>
        <w:t xml:space="preserve">Such action is necessary because the contractor or assignee has not taken, or is not expected to take within a reasonable time, effective steps to achieve practical </w:t>
      </w:r>
      <w:r w:rsidRPr="00002647">
        <w:rPr>
          <w:rFonts w:asciiTheme="minorHAnsi" w:hAnsiTheme="minorHAnsi" w:cs="Arial"/>
          <w:spacing w:val="-1"/>
        </w:rPr>
        <w:lastRenderedPageBreak/>
        <w:t>application of the subject invention in such field of use.</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pStyle w:val="ListParagraph"/>
        <w:numPr>
          <w:ilvl w:val="0"/>
          <w:numId w:val="18"/>
        </w:numPr>
        <w:kinsoku w:val="0"/>
        <w:overflowPunct w:val="0"/>
        <w:spacing w:before="2"/>
        <w:rPr>
          <w:rFonts w:asciiTheme="minorHAnsi" w:hAnsiTheme="minorHAnsi" w:cs="Arial"/>
          <w:spacing w:val="-1"/>
        </w:rPr>
      </w:pPr>
      <w:r w:rsidRPr="00002647">
        <w:rPr>
          <w:rFonts w:asciiTheme="minorHAnsi" w:hAnsiTheme="minorHAnsi" w:cs="Arial"/>
          <w:spacing w:val="-1"/>
        </w:rPr>
        <w:t>Such action is necessary to alleviate health or safety needs which are not reasonably satisfied by the contractor, assignee or their licensees;</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pStyle w:val="ListParagraph"/>
        <w:numPr>
          <w:ilvl w:val="0"/>
          <w:numId w:val="18"/>
        </w:numPr>
        <w:kinsoku w:val="0"/>
        <w:overflowPunct w:val="0"/>
        <w:spacing w:before="2"/>
        <w:rPr>
          <w:rFonts w:asciiTheme="minorHAnsi" w:hAnsiTheme="minorHAnsi" w:cs="Arial"/>
          <w:spacing w:val="-1"/>
        </w:rPr>
      </w:pPr>
      <w:r w:rsidRPr="00002647">
        <w:rPr>
          <w:rFonts w:asciiTheme="minorHAnsi" w:hAnsiTheme="minorHAnsi" w:cs="Arial"/>
          <w:spacing w:val="-1"/>
        </w:rPr>
        <w:t>Such action is necessary to meet requirements for public use specified by Federal regulations and such requirements are not reasonably satisfied by the contractor, assignee or licensees; or</w:t>
      </w:r>
    </w:p>
    <w:p w:rsidR="0043174D" w:rsidRPr="00002647" w:rsidRDefault="0043174D" w:rsidP="0043174D">
      <w:pPr>
        <w:kinsoku w:val="0"/>
        <w:overflowPunct w:val="0"/>
        <w:spacing w:before="2"/>
        <w:ind w:left="720"/>
        <w:rPr>
          <w:rFonts w:asciiTheme="minorHAnsi" w:hAnsiTheme="minorHAnsi" w:cs="Arial"/>
          <w:spacing w:val="-1"/>
          <w:sz w:val="24"/>
          <w:szCs w:val="24"/>
        </w:rPr>
      </w:pPr>
    </w:p>
    <w:p w:rsidR="0043174D" w:rsidRPr="00002647" w:rsidRDefault="0043174D" w:rsidP="0043174D">
      <w:pPr>
        <w:pStyle w:val="ListParagraph"/>
        <w:numPr>
          <w:ilvl w:val="0"/>
          <w:numId w:val="18"/>
        </w:numPr>
        <w:kinsoku w:val="0"/>
        <w:overflowPunct w:val="0"/>
        <w:spacing w:before="2"/>
        <w:rPr>
          <w:rFonts w:asciiTheme="minorHAnsi" w:hAnsiTheme="minorHAnsi" w:cs="Arial"/>
          <w:spacing w:val="-1"/>
        </w:rPr>
      </w:pPr>
      <w:r w:rsidRPr="00002647">
        <w:rPr>
          <w:rFonts w:asciiTheme="minorHAnsi" w:hAnsiTheme="minorHAnsi" w:cs="Arial"/>
          <w:spacing w:val="-1"/>
        </w:rPr>
        <w:t>Such action is necessary because the agreement required by paragraph (i) of this clause has not been obtained or waived or because a licensee of the exclusive right to use or sell any subject invention in the United States is in breach of such agreement.</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pStyle w:val="ListParagraph"/>
        <w:numPr>
          <w:ilvl w:val="0"/>
          <w:numId w:val="11"/>
        </w:numPr>
        <w:kinsoku w:val="0"/>
        <w:overflowPunct w:val="0"/>
        <w:spacing w:before="2"/>
        <w:rPr>
          <w:rFonts w:asciiTheme="minorHAnsi" w:hAnsiTheme="minorHAnsi" w:cs="Arial"/>
          <w:spacing w:val="-1"/>
        </w:rPr>
      </w:pPr>
      <w:r w:rsidRPr="00002647">
        <w:rPr>
          <w:rFonts w:asciiTheme="minorHAnsi" w:hAnsiTheme="minorHAnsi" w:cs="Arial"/>
          <w:spacing w:val="-1"/>
        </w:rPr>
        <w:t xml:space="preserve">Special Provisions for Contracts with Nonprofit Organizations </w:t>
      </w:r>
    </w:p>
    <w:p w:rsidR="0043174D" w:rsidRPr="00002647" w:rsidRDefault="0043174D" w:rsidP="0043174D">
      <w:pPr>
        <w:kinsoku w:val="0"/>
        <w:overflowPunct w:val="0"/>
        <w:spacing w:before="2"/>
        <w:rPr>
          <w:rFonts w:asciiTheme="minorHAnsi" w:hAnsiTheme="minorHAnsi" w:cs="Arial"/>
          <w:spacing w:val="-1"/>
          <w:sz w:val="24"/>
          <w:szCs w:val="24"/>
        </w:rPr>
      </w:pPr>
    </w:p>
    <w:p w:rsidR="0043174D" w:rsidRPr="00002647" w:rsidRDefault="0043174D" w:rsidP="0043174D">
      <w:pPr>
        <w:kinsoku w:val="0"/>
        <w:overflowPunct w:val="0"/>
        <w:spacing w:before="2"/>
        <w:ind w:left="810"/>
        <w:rPr>
          <w:rFonts w:asciiTheme="minorHAnsi" w:hAnsiTheme="minorHAnsi" w:cs="Arial"/>
          <w:spacing w:val="-1"/>
          <w:sz w:val="24"/>
          <w:szCs w:val="24"/>
        </w:rPr>
      </w:pPr>
      <w:r w:rsidRPr="00002647">
        <w:rPr>
          <w:rFonts w:asciiTheme="minorHAnsi" w:hAnsiTheme="minorHAnsi" w:cs="Arial"/>
          <w:spacing w:val="-1"/>
          <w:sz w:val="24"/>
          <w:szCs w:val="24"/>
        </w:rPr>
        <w:t>If the contractor is a nonprofit organization, it agrees that:</w:t>
      </w:r>
    </w:p>
    <w:p w:rsidR="0043174D" w:rsidRPr="00002647" w:rsidRDefault="0043174D" w:rsidP="0043174D">
      <w:pPr>
        <w:kinsoku w:val="0"/>
        <w:overflowPunct w:val="0"/>
        <w:spacing w:before="2"/>
        <w:ind w:left="810"/>
        <w:rPr>
          <w:rFonts w:asciiTheme="minorHAnsi" w:hAnsiTheme="minorHAnsi" w:cs="Arial"/>
          <w:spacing w:val="-1"/>
          <w:sz w:val="24"/>
          <w:szCs w:val="24"/>
        </w:rPr>
      </w:pPr>
    </w:p>
    <w:p w:rsidR="0043174D" w:rsidRPr="00002647" w:rsidRDefault="0043174D" w:rsidP="0043174D">
      <w:pPr>
        <w:pStyle w:val="ListParagraph"/>
        <w:numPr>
          <w:ilvl w:val="0"/>
          <w:numId w:val="19"/>
        </w:numPr>
        <w:kinsoku w:val="0"/>
        <w:overflowPunct w:val="0"/>
        <w:spacing w:before="2"/>
        <w:rPr>
          <w:rFonts w:asciiTheme="minorHAnsi" w:hAnsiTheme="minorHAnsi" w:cs="Arial"/>
          <w:spacing w:val="-1"/>
        </w:rPr>
      </w:pPr>
      <w:r w:rsidRPr="00002647">
        <w:rPr>
          <w:rFonts w:asciiTheme="minorHAnsi" w:hAnsiTheme="minorHAnsi" w:cs="Arial"/>
          <w:spacing w:val="-1"/>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43174D" w:rsidRPr="00002647" w:rsidRDefault="0043174D" w:rsidP="0043174D">
      <w:pPr>
        <w:kinsoku w:val="0"/>
        <w:overflowPunct w:val="0"/>
        <w:spacing w:before="2"/>
        <w:ind w:left="810"/>
        <w:rPr>
          <w:rFonts w:asciiTheme="minorHAnsi" w:hAnsiTheme="minorHAnsi" w:cs="Arial"/>
          <w:spacing w:val="-1"/>
          <w:sz w:val="24"/>
          <w:szCs w:val="24"/>
        </w:rPr>
      </w:pPr>
    </w:p>
    <w:p w:rsidR="0043174D" w:rsidRPr="00002647" w:rsidRDefault="0043174D" w:rsidP="0043174D">
      <w:pPr>
        <w:pStyle w:val="ListParagraph"/>
        <w:numPr>
          <w:ilvl w:val="0"/>
          <w:numId w:val="19"/>
        </w:numPr>
        <w:kinsoku w:val="0"/>
        <w:overflowPunct w:val="0"/>
        <w:spacing w:before="2"/>
        <w:rPr>
          <w:rFonts w:asciiTheme="minorHAnsi" w:hAnsiTheme="minorHAnsi" w:cs="Arial"/>
          <w:spacing w:val="-1"/>
        </w:rPr>
      </w:pPr>
      <w:r w:rsidRPr="00002647">
        <w:rPr>
          <w:rFonts w:asciiTheme="minorHAnsi" w:hAnsiTheme="minorHAnsi" w:cs="Arial"/>
          <w:spacing w:val="-1"/>
        </w:rPr>
        <w:t>The contractor will share royalties collected on a subject invention with the inventor, including Federal employee co-inventors (when the agency deems it appropriate) when the subject invention is assigned in accord</w:t>
      </w:r>
      <w:r w:rsidR="00DD249B">
        <w:rPr>
          <w:rFonts w:asciiTheme="minorHAnsi" w:hAnsiTheme="minorHAnsi" w:cs="Arial"/>
          <w:spacing w:val="-1"/>
        </w:rPr>
        <w:t>ance with 35 U.S.C. 202(e) and</w:t>
      </w:r>
      <w:r w:rsidRPr="00002647">
        <w:rPr>
          <w:rFonts w:asciiTheme="minorHAnsi" w:hAnsiTheme="minorHAnsi" w:cs="Arial"/>
          <w:spacing w:val="-1"/>
        </w:rPr>
        <w:t xml:space="preserve"> 37 CFR 401.10;</w:t>
      </w:r>
    </w:p>
    <w:p w:rsidR="0043174D" w:rsidRPr="00002647" w:rsidRDefault="0043174D" w:rsidP="0043174D">
      <w:pPr>
        <w:kinsoku w:val="0"/>
        <w:overflowPunct w:val="0"/>
        <w:spacing w:before="2"/>
        <w:ind w:left="810"/>
        <w:rPr>
          <w:rFonts w:asciiTheme="minorHAnsi" w:hAnsiTheme="minorHAnsi" w:cs="Arial"/>
          <w:spacing w:val="-1"/>
          <w:sz w:val="24"/>
          <w:szCs w:val="24"/>
        </w:rPr>
      </w:pPr>
    </w:p>
    <w:p w:rsidR="0043174D" w:rsidRPr="00002647" w:rsidRDefault="0043174D" w:rsidP="0043174D">
      <w:pPr>
        <w:pStyle w:val="ListParagraph"/>
        <w:numPr>
          <w:ilvl w:val="0"/>
          <w:numId w:val="19"/>
        </w:numPr>
        <w:kinsoku w:val="0"/>
        <w:overflowPunct w:val="0"/>
        <w:spacing w:before="2"/>
        <w:rPr>
          <w:rFonts w:asciiTheme="minorHAnsi" w:hAnsiTheme="minorHAnsi" w:cs="Arial"/>
          <w:spacing w:val="-1"/>
        </w:rPr>
      </w:pPr>
      <w:r w:rsidRPr="00002647">
        <w:rPr>
          <w:rFonts w:asciiTheme="minorHAnsi" w:hAnsiTheme="minorHAnsi" w:cs="Arial"/>
          <w:spacing w:val="-1"/>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43174D" w:rsidRPr="00002647" w:rsidRDefault="0043174D" w:rsidP="0043174D">
      <w:pPr>
        <w:kinsoku w:val="0"/>
        <w:overflowPunct w:val="0"/>
        <w:spacing w:before="2"/>
        <w:ind w:left="810"/>
        <w:rPr>
          <w:rFonts w:asciiTheme="minorHAnsi" w:hAnsiTheme="minorHAnsi" w:cs="Arial"/>
          <w:spacing w:val="-1"/>
          <w:sz w:val="24"/>
          <w:szCs w:val="24"/>
        </w:rPr>
      </w:pPr>
      <w:r w:rsidRPr="00002647">
        <w:rPr>
          <w:rFonts w:asciiTheme="minorHAnsi" w:hAnsiTheme="minorHAnsi" w:cs="Arial"/>
          <w:spacing w:val="-1"/>
          <w:sz w:val="24"/>
          <w:szCs w:val="24"/>
        </w:rPr>
        <w:t xml:space="preserve"> </w:t>
      </w:r>
    </w:p>
    <w:p w:rsidR="0043174D" w:rsidRPr="00002647" w:rsidRDefault="0043174D" w:rsidP="0043174D">
      <w:pPr>
        <w:pStyle w:val="ListParagraph"/>
        <w:numPr>
          <w:ilvl w:val="0"/>
          <w:numId w:val="19"/>
        </w:numPr>
        <w:kinsoku w:val="0"/>
        <w:overflowPunct w:val="0"/>
        <w:spacing w:before="2"/>
        <w:rPr>
          <w:rFonts w:asciiTheme="minorHAnsi" w:hAnsiTheme="minorHAnsi" w:cs="Arial"/>
          <w:spacing w:val="-1"/>
        </w:rPr>
      </w:pPr>
      <w:r w:rsidRPr="00002647">
        <w:rPr>
          <w:rFonts w:asciiTheme="minorHAnsi" w:hAnsiTheme="minorHAnsi" w:cs="Arial"/>
          <w:spacing w:val="-1"/>
        </w:rPr>
        <w:t xml:space="preserve">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w:t>
      </w:r>
      <w:r w:rsidRPr="00002647">
        <w:rPr>
          <w:rFonts w:asciiTheme="minorHAnsi" w:hAnsiTheme="minorHAnsi" w:cs="Arial"/>
          <w:spacing w:val="-1"/>
        </w:rPr>
        <w:lastRenderedPageBreak/>
        <w:t>licensing program and decisions regarding small business applicants, and the contractor will negotiate changes to its licensing policies, procedures, or practices with the Federal agency when the Federal agency's review discloses that the contractor could take reasonable steps to implement more effectively the requirements of this paragraph (k</w:t>
      </w:r>
      <w:proofErr w:type="gramStart"/>
      <w:r w:rsidRPr="00002647">
        <w:rPr>
          <w:rFonts w:asciiTheme="minorHAnsi" w:hAnsiTheme="minorHAnsi" w:cs="Arial"/>
          <w:spacing w:val="-1"/>
        </w:rPr>
        <w:t>)(</w:t>
      </w:r>
      <w:proofErr w:type="gramEnd"/>
      <w:r w:rsidRPr="00002647">
        <w:rPr>
          <w:rFonts w:asciiTheme="minorHAnsi" w:hAnsiTheme="minorHAnsi" w:cs="Arial"/>
          <w:spacing w:val="-1"/>
        </w:rPr>
        <w:t>4). In accordance with 37 CFR 401.7, the Federal agency or the contractor may request that the Secretary review the contractor's licensing program and decisions regarding small business applicants.</w:t>
      </w:r>
    </w:p>
    <w:p w:rsidR="0043174D" w:rsidRPr="00002647" w:rsidRDefault="0043174D" w:rsidP="0043174D">
      <w:pPr>
        <w:kinsoku w:val="0"/>
        <w:overflowPunct w:val="0"/>
        <w:spacing w:before="2"/>
        <w:rPr>
          <w:rFonts w:asciiTheme="minorHAnsi" w:hAnsiTheme="minorHAnsi" w:cs="Arial"/>
          <w:sz w:val="24"/>
          <w:szCs w:val="24"/>
        </w:rPr>
      </w:pPr>
    </w:p>
    <w:p w:rsidR="0043174D" w:rsidRPr="00002647" w:rsidRDefault="0043174D" w:rsidP="0043174D">
      <w:pPr>
        <w:numPr>
          <w:ilvl w:val="0"/>
          <w:numId w:val="10"/>
        </w:numPr>
        <w:kinsoku w:val="0"/>
        <w:overflowPunct w:val="0"/>
        <w:spacing w:line="393" w:lineRule="auto"/>
        <w:ind w:left="360" w:right="3903"/>
        <w:rPr>
          <w:rFonts w:asciiTheme="minorHAnsi" w:hAnsiTheme="minorHAnsi" w:cs="Arial"/>
          <w:sz w:val="24"/>
          <w:szCs w:val="24"/>
        </w:rPr>
      </w:pPr>
      <w:bookmarkStart w:id="1" w:name="(l)_Communication"/>
      <w:bookmarkEnd w:id="1"/>
      <w:r w:rsidRPr="00002647">
        <w:rPr>
          <w:rFonts w:asciiTheme="minorHAnsi" w:hAnsiTheme="minorHAnsi" w:cs="Arial"/>
          <w:sz w:val="24"/>
          <w:szCs w:val="24"/>
        </w:rPr>
        <w:t xml:space="preserve">Communication </w:t>
      </w:r>
    </w:p>
    <w:p w:rsidR="0043174D" w:rsidRPr="00002647" w:rsidRDefault="0043174D" w:rsidP="0043174D">
      <w:pPr>
        <w:kinsoku w:val="0"/>
        <w:overflowPunct w:val="0"/>
        <w:ind w:left="720" w:right="40"/>
        <w:rPr>
          <w:rFonts w:asciiTheme="minorHAnsi" w:hAnsiTheme="minorHAnsi" w:cs="Arial"/>
          <w:sz w:val="24"/>
          <w:szCs w:val="24"/>
        </w:rPr>
      </w:pPr>
      <w:r w:rsidRPr="00002647">
        <w:rPr>
          <w:rFonts w:asciiTheme="minorHAnsi" w:hAnsiTheme="minorHAnsi" w:cs="Arial"/>
          <w:sz w:val="24"/>
          <w:szCs w:val="24"/>
        </w:rPr>
        <w:t xml:space="preserve">All communications required by this Patent Rights Clause should be sent to </w:t>
      </w:r>
      <w:proofErr w:type="spellStart"/>
      <w:r w:rsidRPr="00002647">
        <w:rPr>
          <w:rFonts w:asciiTheme="minorHAnsi" w:hAnsiTheme="minorHAnsi" w:cs="Arial"/>
          <w:sz w:val="24"/>
          <w:szCs w:val="24"/>
        </w:rPr>
        <w:t>iEdison</w:t>
      </w:r>
      <w:proofErr w:type="spellEnd"/>
      <w:r w:rsidRPr="00002647">
        <w:rPr>
          <w:rFonts w:asciiTheme="minorHAnsi" w:hAnsiTheme="minorHAnsi" w:cs="Arial"/>
          <w:sz w:val="24"/>
          <w:szCs w:val="24"/>
        </w:rPr>
        <w:t xml:space="preserve"> at </w:t>
      </w:r>
      <w:hyperlink r:id="rId8" w:history="1">
        <w:r w:rsidRPr="00002647">
          <w:rPr>
            <w:rFonts w:asciiTheme="minorHAnsi" w:hAnsiTheme="minorHAnsi" w:cs="Arial"/>
            <w:color w:val="0000FF"/>
            <w:sz w:val="24"/>
            <w:szCs w:val="24"/>
            <w:u w:val="single"/>
          </w:rPr>
          <w:t>https://s-edison.info.nih.gov/iEdison/</w:t>
        </w:r>
      </w:hyperlink>
      <w:r w:rsidRPr="00002647">
        <w:rPr>
          <w:rFonts w:asciiTheme="minorHAnsi" w:hAnsiTheme="minorHAnsi" w:cs="Arial"/>
          <w:sz w:val="24"/>
          <w:szCs w:val="24"/>
        </w:rPr>
        <w:t xml:space="preserve">. </w:t>
      </w:r>
    </w:p>
    <w:p w:rsidR="0043174D" w:rsidRPr="00002647" w:rsidRDefault="0043174D" w:rsidP="0043174D">
      <w:pPr>
        <w:kinsoku w:val="0"/>
        <w:overflowPunct w:val="0"/>
        <w:ind w:left="86" w:right="43" w:firstLine="490"/>
        <w:rPr>
          <w:rFonts w:asciiTheme="minorHAnsi" w:hAnsiTheme="minorHAnsi" w:cs="Arial"/>
          <w:sz w:val="24"/>
          <w:szCs w:val="24"/>
        </w:rPr>
      </w:pPr>
    </w:p>
    <w:p w:rsidR="0043174D" w:rsidRPr="00002647" w:rsidRDefault="0043174D" w:rsidP="0043174D">
      <w:pPr>
        <w:numPr>
          <w:ilvl w:val="0"/>
          <w:numId w:val="10"/>
        </w:numPr>
        <w:ind w:left="720" w:hanging="720"/>
        <w:rPr>
          <w:rFonts w:asciiTheme="minorHAnsi" w:hAnsiTheme="minorHAnsi" w:cs="Arial"/>
          <w:sz w:val="24"/>
          <w:szCs w:val="24"/>
        </w:rPr>
      </w:pPr>
      <w:r w:rsidRPr="00002647">
        <w:rPr>
          <w:rFonts w:asciiTheme="minorHAnsi" w:hAnsiTheme="minorHAnsi" w:cs="Arial"/>
          <w:sz w:val="24"/>
          <w:szCs w:val="24"/>
        </w:rPr>
        <w:t>Electronic Filing</w:t>
      </w:r>
    </w:p>
    <w:p w:rsidR="0043174D" w:rsidRPr="00002647" w:rsidRDefault="0043174D" w:rsidP="0043174D">
      <w:pPr>
        <w:ind w:left="318"/>
        <w:rPr>
          <w:rFonts w:asciiTheme="minorHAnsi" w:hAnsiTheme="minorHAnsi" w:cs="Arial"/>
          <w:sz w:val="24"/>
          <w:szCs w:val="24"/>
        </w:rPr>
      </w:pPr>
    </w:p>
    <w:p w:rsidR="009200C8" w:rsidRPr="00154021" w:rsidRDefault="009200C8" w:rsidP="009200C8">
      <w:pPr>
        <w:pStyle w:val="CM16"/>
        <w:spacing w:line="240" w:lineRule="atLeast"/>
        <w:ind w:left="720" w:right="945"/>
        <w:rPr>
          <w:rFonts w:asciiTheme="minorHAnsi" w:hAnsiTheme="minorHAnsi"/>
        </w:rPr>
      </w:pPr>
      <w:r w:rsidRPr="00154021">
        <w:rPr>
          <w:rFonts w:asciiTheme="minorHAnsi" w:hAnsiTheme="minorHAnsi"/>
        </w:rPr>
        <w:t>Unless otherwise specified in the award, the information identified in paragraphs (f</w:t>
      </w:r>
      <w:proofErr w:type="gramStart"/>
      <w:r w:rsidRPr="00154021">
        <w:rPr>
          <w:rFonts w:asciiTheme="minorHAnsi" w:hAnsiTheme="minorHAnsi"/>
        </w:rPr>
        <w:t>)(</w:t>
      </w:r>
      <w:proofErr w:type="gramEnd"/>
      <w:r w:rsidRPr="00154021">
        <w:rPr>
          <w:rFonts w:asciiTheme="minorHAnsi" w:hAnsiTheme="minorHAnsi"/>
        </w:rPr>
        <w:t xml:space="preserve">2), (f)(3), (f)(5), (f)(6), and (f)(7) may be electronically filed. </w:t>
      </w:r>
    </w:p>
    <w:p w:rsidR="00D20341" w:rsidRPr="00C50AF7" w:rsidRDefault="0043174D" w:rsidP="0043174D">
      <w:pPr>
        <w:pStyle w:val="Default"/>
        <w:rPr>
          <w:rFonts w:asciiTheme="minorHAnsi" w:hAnsiTheme="minorHAnsi" w:cs="Times New Roman"/>
          <w:color w:val="auto"/>
        </w:rPr>
      </w:pPr>
      <w:r w:rsidRPr="00C50AF7">
        <w:rPr>
          <w:rFonts w:asciiTheme="minorHAnsi" w:hAnsiTheme="minorHAnsi" w:cs="Times New Roman"/>
          <w:color w:val="auto"/>
        </w:rPr>
        <w:t xml:space="preserve"> </w:t>
      </w:r>
      <w:r w:rsidR="00D20341" w:rsidRPr="00C50AF7">
        <w:rPr>
          <w:rFonts w:asciiTheme="minorHAnsi" w:hAnsiTheme="minorHAnsi" w:cs="Times New Roman"/>
          <w:color w:val="auto"/>
        </w:rPr>
        <w:t>(End of clause)</w:t>
      </w:r>
    </w:p>
    <w:p w:rsidR="009A1697" w:rsidRPr="00C50AF7" w:rsidRDefault="009A1697" w:rsidP="00D20341">
      <w:pPr>
        <w:rPr>
          <w:rFonts w:asciiTheme="minorHAnsi" w:hAnsiTheme="minorHAnsi"/>
          <w:b/>
          <w:sz w:val="24"/>
          <w:szCs w:val="24"/>
        </w:rPr>
      </w:pPr>
    </w:p>
    <w:p w:rsidR="009A1697" w:rsidRPr="00C50AF7" w:rsidRDefault="009A1697" w:rsidP="00A95F53">
      <w:pPr>
        <w:pStyle w:val="HTMLPreformatted"/>
        <w:rPr>
          <w:rFonts w:asciiTheme="minorHAnsi" w:hAnsiTheme="minorHAnsi" w:cs="Times New Roman"/>
          <w:b/>
          <w:sz w:val="24"/>
          <w:szCs w:val="24"/>
        </w:rPr>
      </w:pPr>
    </w:p>
    <w:p w:rsidR="00A95F53" w:rsidRPr="00C50AF7" w:rsidRDefault="00A95F53" w:rsidP="00A95F53">
      <w:pPr>
        <w:rPr>
          <w:rFonts w:asciiTheme="minorHAnsi" w:hAnsiTheme="minorHAnsi"/>
          <w:sz w:val="24"/>
          <w:szCs w:val="24"/>
        </w:rPr>
      </w:pPr>
    </w:p>
    <w:p w:rsidR="00A95F53" w:rsidRPr="00C50AF7" w:rsidRDefault="00A95F53" w:rsidP="00A95F53">
      <w:pPr>
        <w:pStyle w:val="Default"/>
        <w:rPr>
          <w:rFonts w:asciiTheme="minorHAnsi" w:hAnsiTheme="minorHAnsi" w:cs="Times New Roman"/>
          <w:color w:val="auto"/>
        </w:rPr>
      </w:pPr>
    </w:p>
    <w:sectPr w:rsidR="00A95F53" w:rsidRPr="00C50AF7" w:rsidSect="009303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2EE" w:rsidRDefault="002C62EE" w:rsidP="007122D1">
      <w:r>
        <w:separator/>
      </w:r>
    </w:p>
  </w:endnote>
  <w:endnote w:type="continuationSeparator" w:id="0">
    <w:p w:rsidR="002C62EE" w:rsidRDefault="002C62EE" w:rsidP="00712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348322915"/>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57432B" w:rsidRPr="0057432B" w:rsidRDefault="0057432B" w:rsidP="0057432B">
            <w:pPr>
              <w:pStyle w:val="Footer"/>
              <w:ind w:firstLine="2880"/>
              <w:jc w:val="center"/>
              <w:rPr>
                <w:rFonts w:asciiTheme="minorHAnsi" w:hAnsiTheme="minorHAnsi"/>
                <w:sz w:val="22"/>
                <w:szCs w:val="22"/>
              </w:rPr>
            </w:pPr>
            <w:r>
              <w:rPr>
                <w:rFonts w:asciiTheme="minorHAnsi" w:hAnsiTheme="minorHAnsi"/>
                <w:sz w:val="22"/>
                <w:szCs w:val="22"/>
              </w:rPr>
              <w:t xml:space="preserve">        </w:t>
            </w:r>
            <w:r w:rsidRPr="0057432B">
              <w:rPr>
                <w:rFonts w:asciiTheme="minorHAnsi" w:hAnsiTheme="minorHAnsi"/>
                <w:sz w:val="22"/>
                <w:szCs w:val="22"/>
              </w:rPr>
              <w:t xml:space="preserve">Page </w:t>
            </w:r>
            <w:r w:rsidRPr="0057432B">
              <w:rPr>
                <w:rFonts w:asciiTheme="minorHAnsi" w:hAnsiTheme="minorHAnsi"/>
                <w:bCs/>
                <w:sz w:val="22"/>
                <w:szCs w:val="22"/>
              </w:rPr>
              <w:fldChar w:fldCharType="begin"/>
            </w:r>
            <w:r w:rsidRPr="0057432B">
              <w:rPr>
                <w:rFonts w:asciiTheme="minorHAnsi" w:hAnsiTheme="minorHAnsi"/>
                <w:bCs/>
                <w:sz w:val="22"/>
                <w:szCs w:val="22"/>
              </w:rPr>
              <w:instrText xml:space="preserve"> PAGE </w:instrText>
            </w:r>
            <w:r w:rsidRPr="0057432B">
              <w:rPr>
                <w:rFonts w:asciiTheme="minorHAnsi" w:hAnsiTheme="minorHAnsi"/>
                <w:bCs/>
                <w:sz w:val="22"/>
                <w:szCs w:val="22"/>
              </w:rPr>
              <w:fldChar w:fldCharType="separate"/>
            </w:r>
            <w:r w:rsidR="00810B96">
              <w:rPr>
                <w:rFonts w:asciiTheme="minorHAnsi" w:hAnsiTheme="minorHAnsi"/>
                <w:bCs/>
                <w:noProof/>
                <w:sz w:val="22"/>
                <w:szCs w:val="22"/>
              </w:rPr>
              <w:t>14</w:t>
            </w:r>
            <w:r w:rsidRPr="0057432B">
              <w:rPr>
                <w:rFonts w:asciiTheme="minorHAnsi" w:hAnsiTheme="minorHAnsi"/>
                <w:bCs/>
                <w:sz w:val="22"/>
                <w:szCs w:val="22"/>
              </w:rPr>
              <w:fldChar w:fldCharType="end"/>
            </w:r>
            <w:r w:rsidRPr="0057432B">
              <w:rPr>
                <w:rFonts w:asciiTheme="minorHAnsi" w:hAnsiTheme="minorHAnsi"/>
                <w:sz w:val="22"/>
                <w:szCs w:val="22"/>
              </w:rPr>
              <w:t xml:space="preserve"> of </w:t>
            </w:r>
            <w:r w:rsidRPr="0057432B">
              <w:rPr>
                <w:rFonts w:asciiTheme="minorHAnsi" w:hAnsiTheme="minorHAnsi"/>
                <w:bCs/>
                <w:sz w:val="22"/>
                <w:szCs w:val="22"/>
              </w:rPr>
              <w:fldChar w:fldCharType="begin"/>
            </w:r>
            <w:r w:rsidRPr="0057432B">
              <w:rPr>
                <w:rFonts w:asciiTheme="minorHAnsi" w:hAnsiTheme="minorHAnsi"/>
                <w:bCs/>
                <w:sz w:val="22"/>
                <w:szCs w:val="22"/>
              </w:rPr>
              <w:instrText xml:space="preserve"> NUMPAGES  </w:instrText>
            </w:r>
            <w:r w:rsidRPr="0057432B">
              <w:rPr>
                <w:rFonts w:asciiTheme="minorHAnsi" w:hAnsiTheme="minorHAnsi"/>
                <w:bCs/>
                <w:sz w:val="22"/>
                <w:szCs w:val="22"/>
              </w:rPr>
              <w:fldChar w:fldCharType="separate"/>
            </w:r>
            <w:r w:rsidR="00810B96">
              <w:rPr>
                <w:rFonts w:asciiTheme="minorHAnsi" w:hAnsiTheme="minorHAnsi"/>
                <w:bCs/>
                <w:noProof/>
                <w:sz w:val="22"/>
                <w:szCs w:val="22"/>
              </w:rPr>
              <w:t>14</w:t>
            </w:r>
            <w:r w:rsidRPr="0057432B">
              <w:rPr>
                <w:rFonts w:asciiTheme="minorHAnsi" w:hAnsiTheme="minorHAnsi"/>
                <w:bCs/>
                <w:sz w:val="22"/>
                <w:szCs w:val="22"/>
              </w:rPr>
              <w:fldChar w:fldCharType="end"/>
            </w:r>
            <w:r>
              <w:rPr>
                <w:rFonts w:asciiTheme="minorHAnsi" w:hAnsiTheme="minorHAnsi"/>
                <w:bCs/>
                <w:sz w:val="22"/>
                <w:szCs w:val="22"/>
              </w:rPr>
              <w:tab/>
            </w:r>
            <w:r>
              <w:rPr>
                <w:rFonts w:asciiTheme="minorHAnsi" w:hAnsiTheme="minorHAnsi"/>
                <w:bCs/>
                <w:sz w:val="22"/>
                <w:szCs w:val="22"/>
              </w:rPr>
              <w:tab/>
            </w:r>
            <w:r w:rsidR="004E02CA">
              <w:rPr>
                <w:rFonts w:asciiTheme="minorHAnsi" w:hAnsiTheme="minorHAnsi"/>
                <w:bCs/>
                <w:sz w:val="22"/>
                <w:szCs w:val="22"/>
              </w:rPr>
              <w:t>AR-225-10.08</w:t>
            </w:r>
            <w:r w:rsidR="00810B96">
              <w:rPr>
                <w:rFonts w:asciiTheme="minorHAnsi" w:hAnsiTheme="minorHAnsi"/>
                <w:bCs/>
                <w:sz w:val="22"/>
                <w:szCs w:val="22"/>
              </w:rPr>
              <w:t>.19</w:t>
            </w:r>
          </w:p>
        </w:sdtContent>
      </w:sdt>
    </w:sdtContent>
  </w:sdt>
  <w:p w:rsidR="00FD7B4E" w:rsidRPr="0057432B" w:rsidRDefault="00FD7B4E">
    <w:pPr>
      <w:pStyle w:val="Footer"/>
      <w:rPr>
        <w:rFonts w:asciiTheme="minorHAnsi" w:hAnsi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2EE" w:rsidRDefault="002C62EE" w:rsidP="007122D1">
      <w:r>
        <w:separator/>
      </w:r>
    </w:p>
  </w:footnote>
  <w:footnote w:type="continuationSeparator" w:id="0">
    <w:p w:rsidR="002C62EE" w:rsidRDefault="002C62EE" w:rsidP="007122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E5" w:rsidRDefault="003E21E5" w:rsidP="001637B9">
    <w:pPr>
      <w:pStyle w:val="Header"/>
      <w:rPr>
        <w:rFonts w:asciiTheme="minorHAnsi" w:hAnsiTheme="minorHAnsi"/>
        <w:b/>
      </w:rPr>
    </w:pPr>
    <w:r w:rsidRPr="003E21E5">
      <w:rPr>
        <w:rFonts w:asciiTheme="minorHAnsi" w:hAnsiTheme="minorHAnsi"/>
        <w:b/>
      </w:rPr>
      <w:t>ARPA-E Award No. DE-AR000XXXX with [Insert Recipient]</w:t>
    </w:r>
  </w:p>
  <w:p w:rsidR="00FD7B4E" w:rsidRPr="00C74F6F" w:rsidRDefault="00FD7B4E" w:rsidP="001637B9">
    <w:pPr>
      <w:pStyle w:val="Header"/>
      <w:rPr>
        <w:rFonts w:asciiTheme="minorHAnsi" w:hAnsiTheme="minorHAnsi"/>
      </w:rPr>
    </w:pPr>
    <w:r w:rsidRPr="00C74F6F">
      <w:rPr>
        <w:rFonts w:asciiTheme="minorHAnsi" w:hAnsiTheme="minorHAnsi"/>
        <w:b/>
      </w:rPr>
      <w:t>Attachment 2 (Domestic Universities and Nonprofit Organizations)</w:t>
    </w:r>
  </w:p>
  <w:p w:rsidR="00FD7B4E" w:rsidRDefault="00FD7B4E" w:rsidP="00354249">
    <w:pPr>
      <w:pStyle w:val="Header"/>
    </w:pPr>
  </w:p>
  <w:p w:rsidR="00FD7B4E" w:rsidRPr="00354249" w:rsidRDefault="00FD7B4E" w:rsidP="00354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E"/>
    <w:multiLevelType w:val="multilevel"/>
    <w:tmpl w:val="B40E3394"/>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 w15:restartNumberingAfterBreak="0">
    <w:nsid w:val="013F0098"/>
    <w:multiLevelType w:val="hybridMultilevel"/>
    <w:tmpl w:val="C352C9DA"/>
    <w:lvl w:ilvl="0" w:tplc="3530E99C">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9F71D"/>
    <w:multiLevelType w:val="hybridMultilevel"/>
    <w:tmpl w:val="5CDCBE3A"/>
    <w:lvl w:ilvl="0" w:tplc="3B26AB04">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4C4EAB"/>
    <w:multiLevelType w:val="hybridMultilevel"/>
    <w:tmpl w:val="80EEC5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9"/>
  </w:num>
  <w:num w:numId="3">
    <w:abstractNumId w:val="1"/>
  </w:num>
  <w:num w:numId="4">
    <w:abstractNumId w:val="15"/>
  </w:num>
  <w:num w:numId="5">
    <w:abstractNumId w:val="12"/>
  </w:num>
  <w:num w:numId="6">
    <w:abstractNumId w:val="11"/>
  </w:num>
  <w:num w:numId="7">
    <w:abstractNumId w:val="4"/>
  </w:num>
  <w:num w:numId="8">
    <w:abstractNumId w:val="13"/>
  </w:num>
  <w:num w:numId="9">
    <w:abstractNumId w:val="6"/>
  </w:num>
  <w:num w:numId="10">
    <w:abstractNumId w:val="0"/>
  </w:num>
  <w:num w:numId="11">
    <w:abstractNumId w:val="5"/>
  </w:num>
  <w:num w:numId="12">
    <w:abstractNumId w:val="8"/>
  </w:num>
  <w:num w:numId="13">
    <w:abstractNumId w:val="2"/>
  </w:num>
  <w:num w:numId="14">
    <w:abstractNumId w:val="7"/>
  </w:num>
  <w:num w:numId="15">
    <w:abstractNumId w:val="14"/>
  </w:num>
  <w:num w:numId="16">
    <w:abstractNumId w:val="3"/>
  </w:num>
  <w:num w:numId="17">
    <w:abstractNumId w:val="1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53"/>
    <w:rsid w:val="00002647"/>
    <w:rsid w:val="0001220B"/>
    <w:rsid w:val="0001390A"/>
    <w:rsid w:val="000339FC"/>
    <w:rsid w:val="000369F1"/>
    <w:rsid w:val="00045C85"/>
    <w:rsid w:val="00046F44"/>
    <w:rsid w:val="00075C95"/>
    <w:rsid w:val="00080717"/>
    <w:rsid w:val="00082229"/>
    <w:rsid w:val="000826E7"/>
    <w:rsid w:val="0008395E"/>
    <w:rsid w:val="00091551"/>
    <w:rsid w:val="00095B70"/>
    <w:rsid w:val="000B3C32"/>
    <w:rsid w:val="000D599C"/>
    <w:rsid w:val="000D65EB"/>
    <w:rsid w:val="000F27A0"/>
    <w:rsid w:val="00110E5D"/>
    <w:rsid w:val="001637B9"/>
    <w:rsid w:val="001748EE"/>
    <w:rsid w:val="00194E78"/>
    <w:rsid w:val="00195BE5"/>
    <w:rsid w:val="001B1531"/>
    <w:rsid w:val="001C0B0E"/>
    <w:rsid w:val="00211859"/>
    <w:rsid w:val="0022145A"/>
    <w:rsid w:val="002305F6"/>
    <w:rsid w:val="00253A5A"/>
    <w:rsid w:val="002C62EE"/>
    <w:rsid w:val="002E7AF7"/>
    <w:rsid w:val="002F04A3"/>
    <w:rsid w:val="002F2650"/>
    <w:rsid w:val="00317C48"/>
    <w:rsid w:val="00320516"/>
    <w:rsid w:val="00333115"/>
    <w:rsid w:val="00334CD8"/>
    <w:rsid w:val="00347BB7"/>
    <w:rsid w:val="00354249"/>
    <w:rsid w:val="00393611"/>
    <w:rsid w:val="003969FD"/>
    <w:rsid w:val="003B2A12"/>
    <w:rsid w:val="003C732A"/>
    <w:rsid w:val="003D27C0"/>
    <w:rsid w:val="003D5D31"/>
    <w:rsid w:val="003E01B3"/>
    <w:rsid w:val="003E21E5"/>
    <w:rsid w:val="0043174D"/>
    <w:rsid w:val="00456751"/>
    <w:rsid w:val="00461C86"/>
    <w:rsid w:val="00465E12"/>
    <w:rsid w:val="00473A5E"/>
    <w:rsid w:val="00483D9A"/>
    <w:rsid w:val="00486846"/>
    <w:rsid w:val="004E02CA"/>
    <w:rsid w:val="004E5D52"/>
    <w:rsid w:val="004F4B2E"/>
    <w:rsid w:val="00534AEA"/>
    <w:rsid w:val="0057432B"/>
    <w:rsid w:val="0057636B"/>
    <w:rsid w:val="0057654A"/>
    <w:rsid w:val="00581A11"/>
    <w:rsid w:val="00595D81"/>
    <w:rsid w:val="005A0416"/>
    <w:rsid w:val="005C2C09"/>
    <w:rsid w:val="005C3D41"/>
    <w:rsid w:val="00616273"/>
    <w:rsid w:val="00617C6C"/>
    <w:rsid w:val="00625AEC"/>
    <w:rsid w:val="00636BF5"/>
    <w:rsid w:val="006410BD"/>
    <w:rsid w:val="00665B07"/>
    <w:rsid w:val="00675D60"/>
    <w:rsid w:val="006800D5"/>
    <w:rsid w:val="00685408"/>
    <w:rsid w:val="00685FD5"/>
    <w:rsid w:val="006B76C4"/>
    <w:rsid w:val="007001AB"/>
    <w:rsid w:val="00704C6B"/>
    <w:rsid w:val="007122D1"/>
    <w:rsid w:val="00721702"/>
    <w:rsid w:val="00726FB0"/>
    <w:rsid w:val="00730028"/>
    <w:rsid w:val="007375B7"/>
    <w:rsid w:val="0076172D"/>
    <w:rsid w:val="007A69BA"/>
    <w:rsid w:val="007A7B3E"/>
    <w:rsid w:val="007D26F3"/>
    <w:rsid w:val="007E7BE6"/>
    <w:rsid w:val="007F161E"/>
    <w:rsid w:val="00802B3F"/>
    <w:rsid w:val="00810B96"/>
    <w:rsid w:val="00810CD4"/>
    <w:rsid w:val="00872EEB"/>
    <w:rsid w:val="00890427"/>
    <w:rsid w:val="008B6CB0"/>
    <w:rsid w:val="008E4574"/>
    <w:rsid w:val="008F77F4"/>
    <w:rsid w:val="009200C8"/>
    <w:rsid w:val="009267E5"/>
    <w:rsid w:val="009303B7"/>
    <w:rsid w:val="00931E32"/>
    <w:rsid w:val="00954BAC"/>
    <w:rsid w:val="00985A7D"/>
    <w:rsid w:val="009A09EC"/>
    <w:rsid w:val="009A1697"/>
    <w:rsid w:val="009A204F"/>
    <w:rsid w:val="009C3346"/>
    <w:rsid w:val="009C53D9"/>
    <w:rsid w:val="00A371A6"/>
    <w:rsid w:val="00A4440D"/>
    <w:rsid w:val="00A56D18"/>
    <w:rsid w:val="00A95F53"/>
    <w:rsid w:val="00AA6B7A"/>
    <w:rsid w:val="00AF056B"/>
    <w:rsid w:val="00B147D3"/>
    <w:rsid w:val="00B44C8F"/>
    <w:rsid w:val="00B5786B"/>
    <w:rsid w:val="00B71B1F"/>
    <w:rsid w:val="00B77635"/>
    <w:rsid w:val="00BD1F52"/>
    <w:rsid w:val="00BD310F"/>
    <w:rsid w:val="00BD7EC8"/>
    <w:rsid w:val="00BE2740"/>
    <w:rsid w:val="00BF3620"/>
    <w:rsid w:val="00C27C57"/>
    <w:rsid w:val="00C4228C"/>
    <w:rsid w:val="00C50AF7"/>
    <w:rsid w:val="00C51C87"/>
    <w:rsid w:val="00C609A6"/>
    <w:rsid w:val="00C74F6F"/>
    <w:rsid w:val="00C76ECF"/>
    <w:rsid w:val="00C94CE9"/>
    <w:rsid w:val="00CB4847"/>
    <w:rsid w:val="00CE4732"/>
    <w:rsid w:val="00CF5F28"/>
    <w:rsid w:val="00D1460E"/>
    <w:rsid w:val="00D17C5D"/>
    <w:rsid w:val="00D20341"/>
    <w:rsid w:val="00DB7999"/>
    <w:rsid w:val="00DD249B"/>
    <w:rsid w:val="00DE15F2"/>
    <w:rsid w:val="00E2386F"/>
    <w:rsid w:val="00E475E2"/>
    <w:rsid w:val="00E84EE9"/>
    <w:rsid w:val="00E93FFC"/>
    <w:rsid w:val="00EA0027"/>
    <w:rsid w:val="00EB302F"/>
    <w:rsid w:val="00EE6848"/>
    <w:rsid w:val="00F069D4"/>
    <w:rsid w:val="00F51EA3"/>
    <w:rsid w:val="00F5304C"/>
    <w:rsid w:val="00F77077"/>
    <w:rsid w:val="00F93EB9"/>
    <w:rsid w:val="00FA1792"/>
    <w:rsid w:val="00FD3D0D"/>
    <w:rsid w:val="00FD7B4E"/>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9C2EB44-1B19-403E-A8A1-2F4679F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F5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A95F53"/>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A95F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A95F53"/>
    <w:rPr>
      <w:rFonts w:ascii="Courier New" w:eastAsia="Times New Roman" w:hAnsi="Courier New" w:cs="Courier New"/>
      <w:sz w:val="20"/>
      <w:szCs w:val="20"/>
    </w:rPr>
  </w:style>
  <w:style w:type="paragraph" w:customStyle="1" w:styleId="Default">
    <w:name w:val="Default"/>
    <w:rsid w:val="00A95F5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9"/>
    <w:rsid w:val="00A95F53"/>
    <w:rPr>
      <w:rFonts w:ascii="Times New Roman" w:eastAsia="Times New Roman" w:hAnsi="Times New Roman" w:cs="Times New Roman"/>
      <w:sz w:val="20"/>
      <w:szCs w:val="20"/>
    </w:rPr>
  </w:style>
  <w:style w:type="character" w:styleId="Hyperlink">
    <w:name w:val="Hyperlink"/>
    <w:basedOn w:val="DefaultParagraphFont"/>
    <w:uiPriority w:val="99"/>
    <w:rsid w:val="00A95F53"/>
    <w:rPr>
      <w:rFonts w:cs="Times New Roman"/>
      <w:color w:val="0000FF"/>
      <w:u w:val="single"/>
    </w:rPr>
  </w:style>
  <w:style w:type="paragraph" w:customStyle="1" w:styleId="CM5">
    <w:name w:val="CM5"/>
    <w:basedOn w:val="Default"/>
    <w:next w:val="Default"/>
    <w:uiPriority w:val="99"/>
    <w:rsid w:val="009A1697"/>
    <w:pPr>
      <w:spacing w:line="240" w:lineRule="atLeast"/>
    </w:pPr>
    <w:rPr>
      <w:rFonts w:cs="Times New Roman"/>
      <w:color w:val="auto"/>
    </w:rPr>
  </w:style>
  <w:style w:type="paragraph" w:customStyle="1" w:styleId="CM6">
    <w:name w:val="CM6"/>
    <w:basedOn w:val="Default"/>
    <w:next w:val="Default"/>
    <w:uiPriority w:val="99"/>
    <w:rsid w:val="009A1697"/>
    <w:pPr>
      <w:spacing w:line="240" w:lineRule="atLeast"/>
    </w:pPr>
    <w:rPr>
      <w:rFonts w:cs="Times New Roman"/>
      <w:color w:val="auto"/>
    </w:rPr>
  </w:style>
  <w:style w:type="paragraph" w:customStyle="1" w:styleId="CM16">
    <w:name w:val="CM16"/>
    <w:basedOn w:val="Default"/>
    <w:next w:val="Default"/>
    <w:uiPriority w:val="99"/>
    <w:rsid w:val="009A1697"/>
    <w:pPr>
      <w:spacing w:after="245"/>
    </w:pPr>
    <w:rPr>
      <w:rFonts w:cs="Times New Roman"/>
      <w:color w:val="auto"/>
    </w:rPr>
  </w:style>
  <w:style w:type="paragraph" w:customStyle="1" w:styleId="CM14">
    <w:name w:val="CM14"/>
    <w:basedOn w:val="Default"/>
    <w:next w:val="Default"/>
    <w:uiPriority w:val="99"/>
    <w:rsid w:val="009A1697"/>
    <w:pPr>
      <w:spacing w:line="240" w:lineRule="atLeast"/>
    </w:pPr>
    <w:rPr>
      <w:rFonts w:cs="Times New Roman"/>
      <w:color w:val="auto"/>
    </w:rPr>
  </w:style>
  <w:style w:type="paragraph" w:customStyle="1" w:styleId="CM9">
    <w:name w:val="CM9"/>
    <w:basedOn w:val="Default"/>
    <w:next w:val="Default"/>
    <w:uiPriority w:val="99"/>
    <w:rsid w:val="009A1697"/>
    <w:pPr>
      <w:spacing w:line="240" w:lineRule="atLeast"/>
    </w:pPr>
    <w:rPr>
      <w:rFonts w:cs="Times New Roman"/>
      <w:color w:val="auto"/>
    </w:rPr>
  </w:style>
  <w:style w:type="character" w:styleId="CommentReference">
    <w:name w:val="annotation reference"/>
    <w:basedOn w:val="DefaultParagraphFont"/>
    <w:uiPriority w:val="99"/>
    <w:semiHidden/>
    <w:unhideWhenUsed/>
    <w:rsid w:val="009A1697"/>
    <w:rPr>
      <w:sz w:val="16"/>
      <w:szCs w:val="16"/>
    </w:rPr>
  </w:style>
  <w:style w:type="paragraph" w:styleId="CommentText">
    <w:name w:val="annotation text"/>
    <w:basedOn w:val="Normal"/>
    <w:link w:val="CommentTextChar"/>
    <w:uiPriority w:val="99"/>
    <w:semiHidden/>
    <w:unhideWhenUsed/>
    <w:rsid w:val="009A1697"/>
  </w:style>
  <w:style w:type="character" w:customStyle="1" w:styleId="CommentTextChar">
    <w:name w:val="Comment Text Char"/>
    <w:basedOn w:val="DefaultParagraphFont"/>
    <w:link w:val="CommentText"/>
    <w:uiPriority w:val="99"/>
    <w:semiHidden/>
    <w:rsid w:val="009A16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1697"/>
    <w:rPr>
      <w:b/>
      <w:bCs/>
    </w:rPr>
  </w:style>
  <w:style w:type="character" w:customStyle="1" w:styleId="CommentSubjectChar">
    <w:name w:val="Comment Subject Char"/>
    <w:basedOn w:val="CommentTextChar"/>
    <w:link w:val="CommentSubject"/>
    <w:uiPriority w:val="99"/>
    <w:semiHidden/>
    <w:rsid w:val="009A16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A1697"/>
    <w:rPr>
      <w:rFonts w:ascii="Tahoma" w:hAnsi="Tahoma" w:cs="Tahoma"/>
      <w:sz w:val="16"/>
      <w:szCs w:val="16"/>
    </w:rPr>
  </w:style>
  <w:style w:type="character" w:customStyle="1" w:styleId="BalloonTextChar">
    <w:name w:val="Balloon Text Char"/>
    <w:basedOn w:val="DefaultParagraphFont"/>
    <w:link w:val="BalloonText"/>
    <w:uiPriority w:val="99"/>
    <w:semiHidden/>
    <w:rsid w:val="009A1697"/>
    <w:rPr>
      <w:rFonts w:ascii="Tahoma" w:eastAsia="Times New Roman" w:hAnsi="Tahoma" w:cs="Tahoma"/>
      <w:sz w:val="16"/>
      <w:szCs w:val="16"/>
    </w:rPr>
  </w:style>
  <w:style w:type="paragraph" w:customStyle="1" w:styleId="CM1">
    <w:name w:val="CM1"/>
    <w:basedOn w:val="Default"/>
    <w:next w:val="Default"/>
    <w:rsid w:val="00D20341"/>
    <w:pPr>
      <w:spacing w:line="288" w:lineRule="atLeast"/>
    </w:pPr>
    <w:rPr>
      <w:rFonts w:cs="Times New Roman"/>
      <w:color w:val="auto"/>
    </w:rPr>
  </w:style>
  <w:style w:type="paragraph" w:styleId="Header">
    <w:name w:val="header"/>
    <w:basedOn w:val="Normal"/>
    <w:link w:val="HeaderChar"/>
    <w:uiPriority w:val="99"/>
    <w:unhideWhenUsed/>
    <w:rsid w:val="007122D1"/>
    <w:pPr>
      <w:tabs>
        <w:tab w:val="center" w:pos="4680"/>
        <w:tab w:val="right" w:pos="9360"/>
      </w:tabs>
    </w:pPr>
  </w:style>
  <w:style w:type="character" w:customStyle="1" w:styleId="HeaderChar">
    <w:name w:val="Header Char"/>
    <w:basedOn w:val="DefaultParagraphFont"/>
    <w:link w:val="Header"/>
    <w:uiPriority w:val="99"/>
    <w:rsid w:val="007122D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22D1"/>
    <w:pPr>
      <w:tabs>
        <w:tab w:val="center" w:pos="4680"/>
        <w:tab w:val="right" w:pos="9360"/>
      </w:tabs>
    </w:pPr>
  </w:style>
  <w:style w:type="character" w:customStyle="1" w:styleId="FooterChar">
    <w:name w:val="Footer Char"/>
    <w:basedOn w:val="DefaultParagraphFont"/>
    <w:link w:val="Footer"/>
    <w:uiPriority w:val="99"/>
    <w:rsid w:val="007122D1"/>
    <w:rPr>
      <w:rFonts w:ascii="Times New Roman" w:eastAsia="Times New Roman" w:hAnsi="Times New Roman" w:cs="Times New Roman"/>
      <w:sz w:val="20"/>
      <w:szCs w:val="20"/>
    </w:rPr>
  </w:style>
  <w:style w:type="paragraph" w:customStyle="1" w:styleId="Style0">
    <w:name w:val="Style0"/>
    <w:rsid w:val="00685FD5"/>
    <w:pPr>
      <w:spacing w:after="0" w:line="240" w:lineRule="auto"/>
    </w:pPr>
    <w:rPr>
      <w:rFonts w:ascii="Arial" w:eastAsia="Times New Roman" w:hAnsi="Arial" w:cs="Times New Roman"/>
      <w:snapToGrid w:val="0"/>
      <w:sz w:val="24"/>
      <w:szCs w:val="20"/>
    </w:rPr>
  </w:style>
  <w:style w:type="paragraph" w:styleId="Revision">
    <w:name w:val="Revision"/>
    <w:hidden/>
    <w:uiPriority w:val="99"/>
    <w:semiHidden/>
    <w:rsid w:val="00685FD5"/>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1"/>
    <w:qFormat/>
    <w:rsid w:val="0043174D"/>
    <w:pPr>
      <w:ind w:left="100" w:firstLine="480"/>
    </w:pPr>
    <w:rPr>
      <w:rFonts w:ascii="Arial" w:hAnsi="Arial" w:cs="Arial"/>
      <w:sz w:val="22"/>
      <w:szCs w:val="22"/>
    </w:rPr>
  </w:style>
  <w:style w:type="character" w:customStyle="1" w:styleId="BodyTextChar">
    <w:name w:val="Body Text Char"/>
    <w:basedOn w:val="DefaultParagraphFont"/>
    <w:link w:val="BodyText"/>
    <w:uiPriority w:val="1"/>
    <w:rsid w:val="0043174D"/>
    <w:rPr>
      <w:rFonts w:ascii="Arial" w:eastAsia="Times New Roman" w:hAnsi="Arial" w:cs="Arial"/>
    </w:rPr>
  </w:style>
  <w:style w:type="paragraph" w:styleId="ListParagraph">
    <w:name w:val="List Paragraph"/>
    <w:basedOn w:val="Normal"/>
    <w:link w:val="ListParagraphChar"/>
    <w:uiPriority w:val="99"/>
    <w:qFormat/>
    <w:rsid w:val="0043174D"/>
    <w:rPr>
      <w:sz w:val="24"/>
      <w:szCs w:val="24"/>
    </w:rPr>
  </w:style>
  <w:style w:type="character" w:customStyle="1" w:styleId="ListParagraphChar">
    <w:name w:val="List Paragraph Char"/>
    <w:link w:val="ListParagraph"/>
    <w:uiPriority w:val="99"/>
    <w:locked/>
    <w:rsid w:val="004317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B8CEB-E4C8-4314-96C5-65CDC847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4839</Words>
  <Characters>27583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lucasjt</dc:creator>
  <cp:lastModifiedBy>Legal</cp:lastModifiedBy>
  <cp:revision>6</cp:revision>
  <cp:lastPrinted>2010-05-20T19:36:00Z</cp:lastPrinted>
  <dcterms:created xsi:type="dcterms:W3CDTF">2019-09-12T14:55:00Z</dcterms:created>
  <dcterms:modified xsi:type="dcterms:W3CDTF">2019-10-08T13:45:00Z</dcterms:modified>
</cp:coreProperties>
</file>