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ATTACHMENT 2: </w:t>
      </w:r>
    </w:p>
    <w:p w:rsidR="004E5D52" w:rsidRPr="00C50AF7" w:rsidRDefault="004E5D52" w:rsidP="004E5D52">
      <w:pPr>
        <w:jc w:val="center"/>
        <w:rPr>
          <w:rFonts w:asciiTheme="minorHAnsi" w:hAnsiTheme="minorHAnsi"/>
          <w:b/>
          <w:bCs/>
          <w:sz w:val="28"/>
          <w:szCs w:val="28"/>
          <w:u w:val="single"/>
        </w:rPr>
      </w:pPr>
    </w:p>
    <w:p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ARPA-E I</w:t>
      </w:r>
      <w:r w:rsidR="00C76ECF" w:rsidRPr="00C50AF7">
        <w:rPr>
          <w:rFonts w:asciiTheme="minorHAnsi" w:hAnsiTheme="minorHAnsi"/>
          <w:b/>
          <w:bCs/>
          <w:sz w:val="28"/>
          <w:szCs w:val="28"/>
          <w:u w:val="single"/>
        </w:rPr>
        <w:t>NTELLECTUAL PROPERTY PROVISIONS</w:t>
      </w:r>
    </w:p>
    <w:p w:rsidR="00730028" w:rsidRDefault="00C76ECF"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FOR </w:t>
      </w:r>
      <w:r w:rsidR="00730028">
        <w:rPr>
          <w:rFonts w:asciiTheme="minorHAnsi" w:hAnsiTheme="minorHAnsi"/>
          <w:b/>
          <w:bCs/>
          <w:sz w:val="28"/>
          <w:szCs w:val="28"/>
          <w:u w:val="single"/>
        </w:rPr>
        <w:t xml:space="preserve">SBIR/STTR </w:t>
      </w:r>
      <w:r w:rsidR="003E01B3">
        <w:rPr>
          <w:rFonts w:asciiTheme="minorHAnsi" w:hAnsiTheme="minorHAnsi"/>
          <w:b/>
          <w:bCs/>
          <w:sz w:val="28"/>
          <w:szCs w:val="28"/>
          <w:u w:val="single"/>
        </w:rPr>
        <w:t>SUB</w:t>
      </w:r>
      <w:r w:rsidR="00730028">
        <w:rPr>
          <w:rFonts w:asciiTheme="minorHAnsi" w:hAnsiTheme="minorHAnsi"/>
          <w:b/>
          <w:bCs/>
          <w:sz w:val="28"/>
          <w:szCs w:val="28"/>
          <w:u w:val="single"/>
        </w:rPr>
        <w:t>AWARDS</w:t>
      </w:r>
    </w:p>
    <w:p w:rsidR="004E5D52" w:rsidRPr="00C50AF7" w:rsidRDefault="00730028" w:rsidP="004E5D52">
      <w:pPr>
        <w:jc w:val="center"/>
        <w:rPr>
          <w:rFonts w:asciiTheme="minorHAnsi" w:hAnsiTheme="minorHAnsi"/>
          <w:b/>
          <w:bCs/>
          <w:sz w:val="28"/>
          <w:szCs w:val="28"/>
          <w:u w:val="single"/>
        </w:rPr>
      </w:pPr>
      <w:r>
        <w:rPr>
          <w:rFonts w:asciiTheme="minorHAnsi" w:hAnsiTheme="minorHAnsi"/>
          <w:b/>
          <w:bCs/>
          <w:sz w:val="28"/>
          <w:szCs w:val="28"/>
          <w:u w:val="single"/>
        </w:rPr>
        <w:t>(</w:t>
      </w:r>
      <w:r w:rsidR="004E5D52" w:rsidRPr="00C50AF7">
        <w:rPr>
          <w:rFonts w:asciiTheme="minorHAnsi" w:hAnsiTheme="minorHAnsi"/>
          <w:b/>
          <w:bCs/>
          <w:sz w:val="28"/>
          <w:szCs w:val="28"/>
          <w:u w:val="single"/>
        </w:rPr>
        <w:t>DOMESTIC UNIVERSITIES AND NONPROFIT ORGANIZATIONS</w:t>
      </w:r>
      <w:r>
        <w:rPr>
          <w:rFonts w:asciiTheme="minorHAnsi" w:hAnsiTheme="minorHAnsi"/>
          <w:b/>
          <w:bCs/>
          <w:sz w:val="28"/>
          <w:szCs w:val="28"/>
          <w:u w:val="single"/>
        </w:rPr>
        <w:t>)</w:t>
      </w:r>
    </w:p>
    <w:p w:rsidR="00A113A4" w:rsidRPr="00A113A4" w:rsidRDefault="00A113A4" w:rsidP="00A113A4">
      <w:pPr>
        <w:jc w:val="center"/>
        <w:rPr>
          <w:rFonts w:asciiTheme="minorHAnsi" w:hAnsiTheme="minorHAnsi"/>
          <w:b/>
          <w:bCs/>
          <w:sz w:val="28"/>
          <w:szCs w:val="28"/>
          <w:u w:val="single"/>
        </w:rPr>
      </w:pPr>
      <w:r w:rsidRPr="00A113A4">
        <w:rPr>
          <w:rFonts w:asciiTheme="minorHAnsi" w:hAnsiTheme="minorHAnsi"/>
          <w:b/>
          <w:bCs/>
          <w:sz w:val="28"/>
          <w:szCs w:val="28"/>
          <w:u w:val="single"/>
        </w:rPr>
        <w:t>INCLUDING ENHANCED U.S. COMPETITIVENESS</w:t>
      </w:r>
    </w:p>
    <w:p w:rsidR="004E5D52" w:rsidRPr="00C50AF7" w:rsidRDefault="004E5D52" w:rsidP="004E5D52">
      <w:pPr>
        <w:jc w:val="center"/>
        <w:rPr>
          <w:rFonts w:asciiTheme="minorHAnsi" w:hAnsiTheme="minorHAnsi"/>
          <w:b/>
          <w:bCs/>
          <w:sz w:val="24"/>
          <w:szCs w:val="24"/>
        </w:rPr>
      </w:pPr>
    </w:p>
    <w:p w:rsidR="004E5D52" w:rsidRDefault="004E5D52" w:rsidP="004E5D52">
      <w:pPr>
        <w:jc w:val="center"/>
        <w:rPr>
          <w:rFonts w:asciiTheme="minorHAnsi" w:hAnsiTheme="minorHAnsi"/>
          <w:b/>
          <w:bCs/>
          <w:sz w:val="24"/>
          <w:szCs w:val="24"/>
        </w:rPr>
      </w:pPr>
    </w:p>
    <w:p w:rsidR="00FD3D0D" w:rsidRDefault="00FD3D0D" w:rsidP="004E5D52">
      <w:pPr>
        <w:jc w:val="center"/>
        <w:rPr>
          <w:rFonts w:asciiTheme="minorHAnsi" w:hAnsiTheme="minorHAnsi"/>
          <w:b/>
          <w:bCs/>
          <w:sz w:val="24"/>
          <w:szCs w:val="24"/>
        </w:rPr>
      </w:pPr>
    </w:p>
    <w:p w:rsidR="00FD3D0D" w:rsidRPr="00C50AF7" w:rsidRDefault="00FD3D0D" w:rsidP="004E5D52">
      <w:pPr>
        <w:jc w:val="center"/>
        <w:rPr>
          <w:rFonts w:asciiTheme="minorHAnsi" w:hAnsiTheme="minorHAnsi"/>
          <w:b/>
          <w:bCs/>
          <w:sz w:val="24"/>
          <w:szCs w:val="24"/>
        </w:rPr>
      </w:pPr>
    </w:p>
    <w:p w:rsidR="003E01B3" w:rsidRPr="00710395" w:rsidRDefault="004E5D52" w:rsidP="003E01B3">
      <w:pPr>
        <w:pStyle w:val="CM1"/>
        <w:numPr>
          <w:ilvl w:val="0"/>
          <w:numId w:val="9"/>
        </w:numPr>
        <w:ind w:left="720" w:hanging="720"/>
        <w:rPr>
          <w:rFonts w:asciiTheme="minorHAnsi" w:hAnsiTheme="minorHAnsi"/>
        </w:rPr>
      </w:pPr>
      <w:r w:rsidRPr="003E01B3">
        <w:rPr>
          <w:rFonts w:asciiTheme="minorHAnsi" w:hAnsiTheme="minorHAnsi"/>
        </w:rPr>
        <w:t xml:space="preserve"> </w:t>
      </w:r>
      <w:r w:rsidR="003E01B3">
        <w:rPr>
          <w:rFonts w:asciiTheme="minorHAnsi" w:hAnsiTheme="minorHAnsi"/>
        </w:rPr>
        <w:t xml:space="preserve">FAR 52.227-20 Rights in Data – SBIR Program </w:t>
      </w:r>
    </w:p>
    <w:p w:rsidR="00625AEC" w:rsidRPr="003E01B3" w:rsidRDefault="00625AEC" w:rsidP="003E01B3">
      <w:pPr>
        <w:pStyle w:val="Default"/>
        <w:ind w:left="720"/>
        <w:rPr>
          <w:rFonts w:asciiTheme="minorHAnsi" w:hAnsiTheme="minorHAnsi"/>
        </w:rPr>
      </w:pPr>
    </w:p>
    <w:p w:rsidR="004E5D52" w:rsidRDefault="004E5D52" w:rsidP="004E5D52">
      <w:pPr>
        <w:pStyle w:val="CM1"/>
        <w:numPr>
          <w:ilvl w:val="0"/>
          <w:numId w:val="9"/>
        </w:numPr>
        <w:ind w:left="720" w:hanging="720"/>
        <w:rPr>
          <w:rFonts w:asciiTheme="minorHAnsi" w:hAnsiTheme="minorHAnsi"/>
          <w:bCs/>
        </w:rPr>
      </w:pPr>
      <w:r w:rsidRPr="00C50AF7">
        <w:rPr>
          <w:rFonts w:asciiTheme="minorHAnsi" w:hAnsiTheme="minorHAnsi"/>
          <w:bCs/>
        </w:rPr>
        <w:t>37 CFR 401.14 Patent Rights (Nonprofit Organizations</w:t>
      </w:r>
      <w:r w:rsidR="00685408">
        <w:rPr>
          <w:rFonts w:asciiTheme="minorHAnsi" w:hAnsiTheme="minorHAnsi"/>
          <w:bCs/>
        </w:rPr>
        <w:t xml:space="preserve">) </w:t>
      </w:r>
    </w:p>
    <w:p w:rsidR="00CD2947" w:rsidRDefault="00CD2947" w:rsidP="00CD2947">
      <w:pPr>
        <w:pStyle w:val="Default"/>
      </w:pPr>
    </w:p>
    <w:p w:rsidR="00CD2947" w:rsidRPr="00CD2947" w:rsidRDefault="00CD2947" w:rsidP="00CD2947">
      <w:pPr>
        <w:pStyle w:val="Default"/>
        <w:numPr>
          <w:ilvl w:val="0"/>
          <w:numId w:val="9"/>
        </w:numPr>
        <w:rPr>
          <w:rFonts w:asciiTheme="minorHAnsi" w:hAnsiTheme="minorHAnsi"/>
        </w:rPr>
      </w:pPr>
      <w:r w:rsidRPr="00CD2947">
        <w:rPr>
          <w:rFonts w:asciiTheme="minorHAnsi" w:hAnsiTheme="minorHAnsi"/>
        </w:rPr>
        <w:t>Enhanced U.S. Competitiveness</w:t>
      </w:r>
    </w:p>
    <w:p w:rsidR="004E5D52" w:rsidRPr="00C50AF7" w:rsidRDefault="004E5D52" w:rsidP="004E5D52">
      <w:pPr>
        <w:pStyle w:val="Default"/>
        <w:rPr>
          <w:rFonts w:asciiTheme="minorHAnsi" w:hAnsiTheme="minorHAnsi" w:cs="Times New Roman"/>
          <w:color w:val="auto"/>
        </w:rPr>
      </w:pPr>
    </w:p>
    <w:p w:rsidR="004E5D52" w:rsidRDefault="004E5D52" w:rsidP="00AF056B">
      <w:pPr>
        <w:pStyle w:val="Default"/>
        <w:ind w:left="720"/>
        <w:rPr>
          <w:rFonts w:asciiTheme="minorHAnsi" w:hAnsiTheme="minorHAnsi" w:cs="Times New Roman"/>
          <w:color w:val="auto"/>
        </w:rPr>
      </w:pPr>
    </w:p>
    <w:p w:rsidR="00FD3D0D" w:rsidRDefault="00FD3D0D" w:rsidP="00AF056B">
      <w:pPr>
        <w:pStyle w:val="Default"/>
        <w:ind w:left="720"/>
        <w:rPr>
          <w:rFonts w:asciiTheme="minorHAnsi" w:hAnsiTheme="minorHAnsi" w:cs="Times New Roman"/>
          <w:color w:val="auto"/>
        </w:rPr>
      </w:pPr>
    </w:p>
    <w:p w:rsidR="00FD3D0D" w:rsidRPr="00C50AF7" w:rsidRDefault="00FD3D0D" w:rsidP="00AF056B">
      <w:pPr>
        <w:pStyle w:val="Default"/>
        <w:ind w:left="720"/>
        <w:rPr>
          <w:rFonts w:asciiTheme="minorHAnsi" w:hAnsiTheme="minorHAnsi" w:cs="Times New Roman"/>
          <w:color w:val="auto"/>
        </w:rPr>
      </w:pPr>
    </w:p>
    <w:p w:rsidR="00A95F53" w:rsidRPr="00C50AF7" w:rsidRDefault="002E7AF7">
      <w:pPr>
        <w:widowControl/>
        <w:autoSpaceDE/>
        <w:autoSpaceDN/>
        <w:adjustRightInd/>
        <w:spacing w:after="200" w:line="276" w:lineRule="auto"/>
        <w:rPr>
          <w:rFonts w:asciiTheme="minorHAnsi" w:hAnsiTheme="minorHAnsi"/>
          <w:b/>
          <w:sz w:val="24"/>
          <w:szCs w:val="24"/>
        </w:rPr>
      </w:pPr>
      <w:r w:rsidRPr="00FD3D0D">
        <w:rPr>
          <w:rFonts w:asciiTheme="minorHAnsi" w:hAnsiTheme="minorHAnsi"/>
          <w:sz w:val="24"/>
          <w:szCs w:val="24"/>
        </w:rPr>
        <w:t xml:space="preserve">NOTE: Please refer to Attachment 4 (ARPA-E Reporting Checklist and Instructions) </w:t>
      </w:r>
      <w:r w:rsidR="006800D5" w:rsidRPr="00FD3D0D">
        <w:rPr>
          <w:rFonts w:asciiTheme="minorHAnsi" w:hAnsiTheme="minorHAnsi"/>
          <w:sz w:val="24"/>
          <w:szCs w:val="24"/>
        </w:rPr>
        <w:t xml:space="preserve">to ARPA-E Award No. DE-AR000_________ </w:t>
      </w:r>
      <w:r w:rsidRPr="00FD3D0D">
        <w:rPr>
          <w:rFonts w:asciiTheme="minorHAnsi" w:hAnsiTheme="minorHAnsi"/>
          <w:sz w:val="24"/>
          <w:szCs w:val="24"/>
        </w:rPr>
        <w:t xml:space="preserve">for guidance on complying with the intellectual property reporting </w:t>
      </w:r>
      <w:r w:rsidR="00BD1F52" w:rsidRPr="00FD3D0D">
        <w:rPr>
          <w:rFonts w:asciiTheme="minorHAnsi" w:hAnsiTheme="minorHAnsi"/>
          <w:sz w:val="24"/>
          <w:szCs w:val="24"/>
        </w:rPr>
        <w:t>obligations referenced herein.</w:t>
      </w:r>
      <w:r w:rsidR="00A95F53" w:rsidRPr="00C50AF7">
        <w:rPr>
          <w:rFonts w:asciiTheme="minorHAnsi" w:hAnsiTheme="minorHAnsi"/>
          <w:b/>
          <w:sz w:val="24"/>
          <w:szCs w:val="24"/>
        </w:rPr>
        <w:br w:type="page"/>
      </w:r>
      <w:bookmarkStart w:id="0" w:name="_GoBack"/>
      <w:bookmarkEnd w:id="0"/>
    </w:p>
    <w:p w:rsidR="003E01B3" w:rsidRPr="00710395" w:rsidRDefault="003E01B3" w:rsidP="003E01B3">
      <w:pPr>
        <w:pStyle w:val="CM16"/>
        <w:spacing w:line="240" w:lineRule="atLeast"/>
        <w:ind w:left="720" w:right="945" w:hanging="720"/>
        <w:rPr>
          <w:rFonts w:asciiTheme="minorHAnsi" w:hAnsiTheme="minorHAnsi"/>
          <w:b/>
        </w:rPr>
      </w:pPr>
      <w:r>
        <w:rPr>
          <w:rFonts w:asciiTheme="minorHAnsi" w:hAnsiTheme="minorHAnsi"/>
          <w:b/>
        </w:rPr>
        <w:lastRenderedPageBreak/>
        <w:t>1.</w:t>
      </w:r>
      <w:r>
        <w:rPr>
          <w:rFonts w:asciiTheme="minorHAnsi" w:hAnsiTheme="minorHAnsi"/>
          <w:b/>
        </w:rPr>
        <w:tab/>
      </w:r>
      <w:r w:rsidRPr="003824E2">
        <w:rPr>
          <w:rFonts w:asciiTheme="minorHAnsi" w:hAnsiTheme="minorHAnsi"/>
          <w:b/>
        </w:rPr>
        <w:t xml:space="preserve">FAR 52.227-20 Rights in Data – SBIR Program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3E01B3" w:rsidRDefault="003E01B3" w:rsidP="003E01B3">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Means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lastRenderedPageBreak/>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Data specifically identified in this contract as data to be delivered without restriction;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w:t>
      </w:r>
      <w:r w:rsidRPr="003824E2">
        <w:rPr>
          <w:rFonts w:asciiTheme="minorHAnsi" w:hAnsiTheme="minorHAnsi"/>
        </w:rPr>
        <w:lastRenderedPageBreak/>
        <w:t>and to the extent provided in paragraph (d)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3E01B3" w:rsidRPr="00772AC5" w:rsidRDefault="003E01B3" w:rsidP="003E01B3">
      <w:pPr>
        <w:pStyle w:val="CM16"/>
        <w:spacing w:line="240" w:lineRule="atLeast"/>
        <w:rPr>
          <w:rFonts w:asciiTheme="minorHAnsi" w:hAnsiTheme="minorHAnsi"/>
        </w:rPr>
      </w:pPr>
      <w:r w:rsidRPr="003824E2">
        <w:rPr>
          <w:rFonts w:asciiTheme="minorHAnsi" w:hAnsiTheme="minorHAnsi"/>
        </w:rPr>
        <w:lastRenderedPageBreak/>
        <w:t xml:space="preserve">(d) </w:t>
      </w:r>
      <w:r w:rsidRPr="00772AC5">
        <w:rPr>
          <w:rFonts w:asciiTheme="minorHAnsi" w:hAnsiTheme="minorHAnsi"/>
          <w:iCs/>
        </w:rPr>
        <w:t>Rights to SBIR data.</w:t>
      </w:r>
      <w:r w:rsidRPr="00772AC5">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E01B3" w:rsidRPr="003824E2" w:rsidRDefault="003E01B3" w:rsidP="003E01B3">
      <w:pPr>
        <w:pStyle w:val="CM16"/>
        <w:spacing w:line="240" w:lineRule="atLeast"/>
        <w:jc w:val="center"/>
        <w:rPr>
          <w:rFonts w:asciiTheme="minorHAnsi" w:hAnsiTheme="minorHAnsi"/>
        </w:rPr>
      </w:pPr>
      <w:r w:rsidRPr="003824E2">
        <w:rPr>
          <w:rFonts w:asciiTheme="minorHAnsi" w:hAnsiTheme="minorHAnsi"/>
        </w:rPr>
        <w:t>SBIR Rights Notice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Pr>
          <w:rFonts w:asciiTheme="minorHAnsi" w:hAnsiTheme="minorHAnsi"/>
        </w:rPr>
        <w:t>[Award</w:t>
      </w:r>
      <w:r w:rsidRPr="003824E2">
        <w:rPr>
          <w:rFonts w:asciiTheme="minorHAnsi" w:hAnsiTheme="minorHAnsi"/>
        </w:rPr>
        <w:t xml:space="preserve"> No.</w:t>
      </w:r>
      <w:r w:rsidRPr="00772AC5">
        <w:rPr>
          <w:rFonts w:asciiTheme="minorHAnsi" w:hAnsiTheme="minorHAnsi"/>
        </w:rPr>
        <w:t xml:space="preserve"> </w:t>
      </w:r>
      <w:r w:rsidRPr="003824E2">
        <w:rPr>
          <w:rFonts w:asciiTheme="minorHAnsi" w:hAnsiTheme="minorHAnsi"/>
        </w:rPr>
        <w:t>________</w:t>
      </w:r>
      <w:r>
        <w:rPr>
          <w:rFonts w:asciiTheme="minorHAnsi" w:hAnsiTheme="minorHAnsi"/>
        </w:rPr>
        <w:t xml:space="preserve"> or a subaward under Award No.</w:t>
      </w:r>
      <w:r w:rsidRPr="003824E2">
        <w:rPr>
          <w:rFonts w:asciiTheme="minorHAnsi" w:hAnsiTheme="minorHAnsi"/>
        </w:rPr>
        <w:t xml:space="preserve">________ </w:t>
      </w:r>
      <w:r>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Pr>
          <w:rFonts w:asciiTheme="minorHAnsi" w:hAnsiTheme="minorHAnsi"/>
        </w:rPr>
        <w:t>c</w:t>
      </w:r>
      <w:r w:rsidRPr="003824E2">
        <w:rPr>
          <w:rFonts w:asciiTheme="minorHAnsi" w:hAnsiTheme="minorHAnsi"/>
        </w:rPr>
        <w:t>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E01B3" w:rsidRDefault="003E01B3" w:rsidP="003E01B3">
      <w:pPr>
        <w:pStyle w:val="CM16"/>
        <w:spacing w:line="240" w:lineRule="atLeast"/>
        <w:rPr>
          <w:rFonts w:asciiTheme="minorHAnsi" w:hAnsiTheme="minorHAnsi"/>
        </w:rPr>
      </w:pPr>
      <w:r w:rsidRPr="003824E2">
        <w:rPr>
          <w:rFonts w:asciiTheme="minorHAnsi" w:hAnsiTheme="minorHAnsi"/>
        </w:rPr>
        <w:t>(End of notice)</w:t>
      </w:r>
    </w:p>
    <w:p w:rsidR="003E01B3" w:rsidRPr="00D1460E" w:rsidRDefault="003E01B3" w:rsidP="003E01B3">
      <w:pPr>
        <w:ind w:firstLine="720"/>
        <w:rPr>
          <w:rFonts w:asciiTheme="minorHAnsi" w:hAnsiTheme="minorHAnsi"/>
          <w:sz w:val="24"/>
          <w:szCs w:val="24"/>
        </w:rPr>
      </w:pPr>
      <w:r w:rsidRPr="00D1460E">
        <w:rPr>
          <w:rFonts w:asciiTheme="minorHAnsi" w:hAnsiTheme="minorHAnsi"/>
          <w:sz w:val="24"/>
          <w:szCs w:val="24"/>
        </w:rPr>
        <w:t xml:space="preserve">(2)  However, the Recipient agrees that the following types of data are not considered to be SBIR data and shall be provided to the Government when required by this award without any claim that the data are SBIR data. The parties agree that notwithstanding the following lists of types of data, nothing precludes the Government from seeking delivery of additional data in accordance with this award, or from making publicly available additional non-SBIR data, nor does the following list constitute any admission by the Government that technical data not on the list is SBIR data.  </w:t>
      </w:r>
    </w:p>
    <w:p w:rsidR="003E01B3" w:rsidRPr="00D1460E" w:rsidRDefault="003E01B3" w:rsidP="003E01B3">
      <w:pPr>
        <w:ind w:firstLine="720"/>
        <w:rPr>
          <w:rFonts w:asciiTheme="minorHAnsi" w:hAnsiTheme="minorHAnsi"/>
        </w:rPr>
      </w:pPr>
      <w:r w:rsidRPr="00D1460E" w:rsidDel="00AF275B">
        <w:rPr>
          <w:rFonts w:asciiTheme="minorHAnsi" w:hAnsiTheme="minorHAnsi"/>
        </w:rPr>
        <w:t xml:space="preserve"> </w:t>
      </w:r>
    </w:p>
    <w:p w:rsidR="003E01B3" w:rsidRPr="00AF275B" w:rsidRDefault="003E01B3" w:rsidP="003E01B3">
      <w:pPr>
        <w:pStyle w:val="Default"/>
      </w:pPr>
      <w:r>
        <w:t>[insert]</w:t>
      </w:r>
    </w:p>
    <w:p w:rsidR="003E01B3" w:rsidRDefault="003E01B3" w:rsidP="003E01B3">
      <w:pPr>
        <w:pStyle w:val="Default"/>
      </w:pPr>
    </w:p>
    <w:p w:rsidR="003E01B3" w:rsidRPr="00AF275B" w:rsidRDefault="003E01B3" w:rsidP="003E01B3">
      <w:pPr>
        <w:pStyle w:val="Default"/>
      </w:pP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w:t>
      </w:r>
      <w:r>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(2) If the unmarked data has not been disclosed without restriction outside the Government, the Contractor may request, within 6 months (or a longer time approved by the Contracting Officer in writing for good cause shown) after delivery of the data, permission to </w:t>
      </w:r>
      <w:r w:rsidRPr="003824E2">
        <w:rPr>
          <w:rFonts w:asciiTheme="minorHAnsi" w:hAnsiTheme="minorHAnsi"/>
        </w:rPr>
        <w:lastRenderedPageBreak/>
        <w:t>have authorized notices placed on the data at the Contractor's expense, and the Contracting Officer may agree to do so if the Contractor—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3E01B3" w:rsidRDefault="003E01B3" w:rsidP="003E01B3">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Pr>
          <w:rFonts w:asciiTheme="minorHAnsi" w:hAnsiTheme="minorHAnsi"/>
        </w:rPr>
        <w:t xml:space="preserve"> </w:t>
      </w:r>
      <w:r w:rsidRPr="00E05069">
        <w:rPr>
          <w:rFonts w:asciiTheme="minorHAnsi" w:hAnsiTheme="minorHAnsi"/>
        </w:rPr>
        <w:t>SBIR/STTR rights apply to all SBIR awards, including subawards to such awards that fall within the statutory definition of Phase I, II, or III of the SBIR Program, as described in the Small Business Innovation Research (SBIR) Program Policy Directive.</w:t>
      </w:r>
      <w:r>
        <w:rPr>
          <w:rFonts w:asciiTheme="minorHAnsi" w:hAnsiTheme="minorHAnsi"/>
        </w:rPr>
        <w:t xml:space="preserve">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3E01B3" w:rsidRPr="00710395" w:rsidRDefault="003E01B3" w:rsidP="003E01B3">
      <w:pPr>
        <w:pStyle w:val="CM16"/>
        <w:spacing w:line="240" w:lineRule="atLeast"/>
        <w:rPr>
          <w:rFonts w:asciiTheme="minorHAnsi" w:hAnsiTheme="minorHAnsi"/>
        </w:rPr>
      </w:pPr>
      <w:r w:rsidRPr="00C3693A">
        <w:rPr>
          <w:rFonts w:asciiTheme="minorHAnsi" w:hAnsiTheme="minorHAnsi"/>
          <w:bCs/>
        </w:rPr>
        <w:lastRenderedPageBreak/>
        <w:t>(End of clause)</w:t>
      </w:r>
    </w:p>
    <w:p w:rsidR="009A1697" w:rsidRPr="00625AEC" w:rsidRDefault="009A1697" w:rsidP="009A1697">
      <w:pPr>
        <w:pStyle w:val="CM16"/>
        <w:spacing w:line="240" w:lineRule="atLeast"/>
        <w:ind w:left="720" w:right="265" w:hanging="720"/>
        <w:rPr>
          <w:rFonts w:asciiTheme="minorHAnsi" w:hAnsiTheme="minorHAnsi"/>
          <w:b/>
          <w:bCs/>
        </w:rPr>
      </w:pPr>
      <w:r w:rsidRPr="00C50AF7">
        <w:rPr>
          <w:rFonts w:asciiTheme="minorHAnsi" w:hAnsiTheme="minorHAnsi"/>
          <w:b/>
          <w:bCs/>
        </w:rPr>
        <w:t>2.</w:t>
      </w:r>
      <w:r w:rsidRPr="00C50AF7">
        <w:rPr>
          <w:rFonts w:asciiTheme="minorHAnsi" w:hAnsiTheme="minorHAnsi"/>
          <w:b/>
          <w:bCs/>
        </w:rPr>
        <w:tab/>
        <w:t xml:space="preserve">37 CFR 401.14 Patent Rights (Nonprofit Organizations) </w:t>
      </w:r>
    </w:p>
    <w:p w:rsidR="009A1697" w:rsidRPr="00C50AF7" w:rsidRDefault="009A1697" w:rsidP="009A1697">
      <w:pPr>
        <w:pStyle w:val="CM16"/>
        <w:spacing w:line="240" w:lineRule="atLeast"/>
        <w:ind w:left="720" w:hanging="720"/>
        <w:rPr>
          <w:rFonts w:asciiTheme="minorHAnsi" w:hAnsiTheme="minorHAnsi"/>
        </w:rPr>
      </w:pPr>
      <w:r w:rsidRPr="00C50AF7">
        <w:rPr>
          <w:rFonts w:asciiTheme="minorHAnsi" w:hAnsiTheme="minorHAnsi"/>
        </w:rPr>
        <w:t>(a)</w:t>
      </w:r>
      <w:r w:rsidRPr="00C50AF7">
        <w:rPr>
          <w:rFonts w:asciiTheme="minorHAnsi" w:hAnsiTheme="minorHAnsi"/>
        </w:rPr>
        <w:tab/>
        <w:t>Definitions</w:t>
      </w:r>
    </w:p>
    <w:p w:rsidR="009A1697" w:rsidRPr="00C50AF7" w:rsidRDefault="009A1697" w:rsidP="009A1697">
      <w:pPr>
        <w:pStyle w:val="CM14"/>
        <w:ind w:left="720" w:right="193"/>
        <w:rPr>
          <w:rFonts w:asciiTheme="minorHAnsi" w:hAnsiTheme="minorHAnsi"/>
        </w:rPr>
      </w:pPr>
      <w:r w:rsidRPr="00C50AF7">
        <w:rPr>
          <w:rFonts w:asciiTheme="minorHAnsi" w:hAnsiTheme="minorHAnsi"/>
          <w:i/>
        </w:rPr>
        <w:t>Invention</w:t>
      </w:r>
      <w:r w:rsidRPr="00C50AF7">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8E4574" w:rsidRPr="00C50AF7" w:rsidRDefault="008E4574" w:rsidP="008E4574">
      <w:pPr>
        <w:pStyle w:val="Default"/>
        <w:rPr>
          <w:rFonts w:asciiTheme="minorHAnsi" w:hAnsiTheme="minorHAnsi"/>
          <w:color w:val="auto"/>
        </w:rPr>
      </w:pPr>
    </w:p>
    <w:p w:rsidR="008E4574" w:rsidRPr="00C50AF7" w:rsidRDefault="008E4574" w:rsidP="009A1697">
      <w:pPr>
        <w:pStyle w:val="Default"/>
        <w:ind w:left="720"/>
        <w:rPr>
          <w:rFonts w:asciiTheme="minorHAnsi" w:hAnsiTheme="minorHAnsi"/>
          <w:color w:val="auto"/>
        </w:rPr>
      </w:pPr>
      <w:r w:rsidRPr="00C50AF7">
        <w:rPr>
          <w:rFonts w:asciiTheme="minorHAnsi" w:hAnsiTheme="minorHAnsi"/>
          <w:i/>
          <w:color w:val="auto"/>
        </w:rPr>
        <w:t>Subject invention</w:t>
      </w:r>
      <w:r w:rsidRPr="00C50AF7">
        <w:rPr>
          <w:rFonts w:asciiTheme="minorHAnsi" w:hAnsiTheme="minorHAnsi"/>
          <w:color w:val="auto"/>
        </w:rPr>
        <w:t xml:space="preserve"> means any invention of the </w:t>
      </w:r>
      <w:r w:rsidR="00C94CE9">
        <w:rPr>
          <w:rFonts w:asciiTheme="minorHAnsi" w:hAnsiTheme="minorHAnsi"/>
          <w:color w:val="auto"/>
        </w:rPr>
        <w:t xml:space="preserve">Subrecipient </w:t>
      </w:r>
      <w:r w:rsidRPr="00C50AF7">
        <w:rPr>
          <w:rFonts w:asciiTheme="minorHAnsi" w:hAnsiTheme="minorHAnsi"/>
          <w:color w:val="auto"/>
        </w:rPr>
        <w:t xml:space="preserve">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8E4574" w:rsidRPr="00C50AF7" w:rsidRDefault="008E4574" w:rsidP="009A1697">
      <w:pPr>
        <w:pStyle w:val="Default"/>
        <w:ind w:left="720"/>
        <w:rPr>
          <w:rFonts w:asciiTheme="minorHAnsi" w:hAnsiTheme="minorHAnsi"/>
          <w:i/>
          <w:color w:val="auto"/>
        </w:rPr>
      </w:pPr>
    </w:p>
    <w:p w:rsidR="009A1697" w:rsidRPr="00C50AF7" w:rsidRDefault="008E4574" w:rsidP="009A1697">
      <w:pPr>
        <w:pStyle w:val="Default"/>
        <w:ind w:left="720"/>
        <w:rPr>
          <w:rFonts w:asciiTheme="minorHAnsi" w:hAnsiTheme="minorHAnsi"/>
          <w:color w:val="auto"/>
        </w:rPr>
      </w:pPr>
      <w:r w:rsidRPr="00C50AF7">
        <w:rPr>
          <w:rFonts w:asciiTheme="minorHAnsi" w:hAnsiTheme="minorHAnsi"/>
          <w:i/>
          <w:color w:val="auto"/>
        </w:rPr>
        <w:t>Practical application</w:t>
      </w:r>
      <w:r w:rsidRPr="00C50AF7">
        <w:rPr>
          <w:rFonts w:asciiTheme="minorHAnsi" w:hAnsiTheme="minorHAnsi"/>
          <w:color w:val="auto"/>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8E4574" w:rsidRPr="00C50AF7" w:rsidRDefault="008E4574" w:rsidP="009A1697">
      <w:pPr>
        <w:pStyle w:val="Default"/>
        <w:ind w:left="720"/>
        <w:rPr>
          <w:rFonts w:asciiTheme="minorHAnsi" w:hAnsiTheme="minorHAnsi" w:cs="Times New Roman"/>
          <w:color w:val="auto"/>
        </w:rPr>
      </w:pPr>
    </w:p>
    <w:p w:rsidR="009A1697" w:rsidRPr="00C50AF7" w:rsidRDefault="009A1697" w:rsidP="009A1697">
      <w:pPr>
        <w:pStyle w:val="CM9"/>
        <w:ind w:left="720" w:right="373"/>
        <w:rPr>
          <w:rFonts w:asciiTheme="minorHAnsi" w:hAnsiTheme="minorHAnsi"/>
        </w:rPr>
      </w:pPr>
      <w:r w:rsidRPr="00C50AF7">
        <w:rPr>
          <w:rFonts w:asciiTheme="minorHAnsi" w:hAnsiTheme="minorHAnsi"/>
          <w:i/>
        </w:rPr>
        <w:t>Made</w:t>
      </w:r>
      <w:r w:rsidRPr="00C50AF7">
        <w:rPr>
          <w:rFonts w:asciiTheme="minorHAnsi" w:hAnsiTheme="minorHAnsi"/>
        </w:rPr>
        <w:t>, when used in relation to any invention, means the conception or first actual reduction to practice of such invention.</w:t>
      </w:r>
    </w:p>
    <w:p w:rsidR="008E4574" w:rsidRPr="00C50AF7" w:rsidRDefault="008E4574" w:rsidP="008E4574">
      <w:pPr>
        <w:pStyle w:val="Default"/>
        <w:rPr>
          <w:rFonts w:asciiTheme="minorHAnsi" w:hAnsiTheme="minorHAnsi"/>
          <w:color w:val="auto"/>
        </w:rPr>
      </w:pPr>
    </w:p>
    <w:p w:rsidR="008E4574" w:rsidRPr="00C50AF7" w:rsidRDefault="008E4574" w:rsidP="008E4574">
      <w:pPr>
        <w:pStyle w:val="CM5"/>
        <w:ind w:left="720"/>
        <w:rPr>
          <w:rFonts w:asciiTheme="minorHAnsi" w:hAnsiTheme="minorHAnsi"/>
        </w:rPr>
      </w:pPr>
      <w:r w:rsidRPr="00C50AF7">
        <w:rPr>
          <w:rFonts w:asciiTheme="minorHAnsi" w:hAnsiTheme="minorHAnsi"/>
          <w:i/>
        </w:rPr>
        <w:t>Small business firm</w:t>
      </w:r>
      <w:r w:rsidRPr="00C50AF7">
        <w:rPr>
          <w:rFonts w:asciiTheme="minorHAnsi" w:hAnsiTheme="minorHAnsi"/>
        </w:rPr>
        <w:t xml:space="preserve"> means a small business concern as defined at section </w:t>
      </w:r>
      <w:r w:rsidR="002F04A3">
        <w:rPr>
          <w:rFonts w:asciiTheme="minorHAnsi" w:hAnsiTheme="minorHAnsi"/>
        </w:rPr>
        <w:t>3</w:t>
      </w:r>
      <w:r w:rsidR="002F04A3" w:rsidRPr="00C50AF7">
        <w:rPr>
          <w:rFonts w:asciiTheme="minorHAnsi" w:hAnsiTheme="minorHAnsi"/>
        </w:rPr>
        <w:t xml:space="preserve"> </w:t>
      </w:r>
      <w:r w:rsidRPr="00C50AF7">
        <w:rPr>
          <w:rFonts w:asciiTheme="minorHAnsi" w:hAnsiTheme="minorHAnsi"/>
        </w:rPr>
        <w:t xml:space="preserve">of </w:t>
      </w:r>
      <w:r w:rsidR="002F04A3">
        <w:rPr>
          <w:rFonts w:asciiTheme="minorHAnsi" w:hAnsiTheme="minorHAnsi"/>
        </w:rPr>
        <w:t>the Small Business Act</w:t>
      </w:r>
      <w:r w:rsidRPr="00C50AF7">
        <w:rPr>
          <w:rFonts w:asciiTheme="minorHAnsi" w:hAnsiTheme="minorHAnsi"/>
        </w:rPr>
        <w:t>(</w:t>
      </w:r>
      <w:r w:rsidR="002F04A3" w:rsidRPr="00C50AF7">
        <w:rPr>
          <w:rFonts w:asciiTheme="minorHAnsi" w:hAnsiTheme="minorHAnsi"/>
        </w:rPr>
        <w:t>1</w:t>
      </w:r>
      <w:r w:rsidR="002F04A3">
        <w:rPr>
          <w:rFonts w:asciiTheme="minorHAnsi" w:hAnsiTheme="minorHAnsi"/>
        </w:rPr>
        <w:t>5</w:t>
      </w:r>
      <w:r w:rsidR="002F04A3" w:rsidRPr="00C50AF7">
        <w:rPr>
          <w:rFonts w:asciiTheme="minorHAnsi" w:hAnsiTheme="minorHAnsi"/>
        </w:rPr>
        <w:t xml:space="preserve"> </w:t>
      </w:r>
      <w:r w:rsidRPr="00C50AF7">
        <w:rPr>
          <w:rFonts w:asciiTheme="minorHAnsi" w:hAnsiTheme="minorHAnsi"/>
        </w:rPr>
        <w:t>U.S.C. 632) and implementing regulations of the Administrator of the Small Business Administration. For the purpose of this clause, the size standards for small business concerns involved in Government procurement at 13 CFR 121</w:t>
      </w:r>
      <w:r w:rsidR="00483D9A">
        <w:rPr>
          <w:rFonts w:asciiTheme="minorHAnsi" w:hAnsiTheme="minorHAnsi"/>
        </w:rPr>
        <w:t>.401</w:t>
      </w:r>
      <w:r w:rsidRPr="00C50AF7">
        <w:rPr>
          <w:rFonts w:asciiTheme="minorHAnsi" w:hAnsiTheme="minorHAnsi"/>
        </w:rPr>
        <w:t xml:space="preserve"> through 121.</w:t>
      </w:r>
      <w:r w:rsidR="00483D9A">
        <w:rPr>
          <w:rFonts w:asciiTheme="minorHAnsi" w:hAnsiTheme="minorHAnsi"/>
        </w:rPr>
        <w:t>4</w:t>
      </w:r>
      <w:r w:rsidRPr="00C50AF7">
        <w:rPr>
          <w:rFonts w:asciiTheme="minorHAnsi" w:hAnsiTheme="minorHAnsi"/>
        </w:rPr>
        <w:t>12 will be used.</w:t>
      </w:r>
    </w:p>
    <w:p w:rsidR="009A1697" w:rsidRPr="00C50AF7" w:rsidRDefault="009A1697" w:rsidP="009A1697">
      <w:pPr>
        <w:pStyle w:val="Default"/>
        <w:ind w:left="720"/>
        <w:rPr>
          <w:rFonts w:asciiTheme="minorHAnsi" w:hAnsiTheme="minorHAnsi" w:cs="Times New Roman"/>
          <w:color w:val="auto"/>
        </w:rPr>
      </w:pPr>
    </w:p>
    <w:p w:rsidR="009A1697" w:rsidRPr="00C50AF7" w:rsidRDefault="009A1697" w:rsidP="009A1697">
      <w:pPr>
        <w:pStyle w:val="CM9"/>
        <w:ind w:left="720" w:right="373"/>
        <w:rPr>
          <w:rFonts w:asciiTheme="minorHAnsi" w:hAnsiTheme="minorHAnsi"/>
        </w:rPr>
      </w:pPr>
      <w:r w:rsidRPr="00C50AF7">
        <w:rPr>
          <w:rFonts w:asciiTheme="minorHAnsi" w:hAnsiTheme="minorHAnsi"/>
          <w:i/>
        </w:rPr>
        <w:t>Nonprofit organization</w:t>
      </w:r>
      <w:r w:rsidRPr="00C50AF7">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9A1697" w:rsidRPr="00C50AF7" w:rsidRDefault="009A1697" w:rsidP="009A1697">
      <w:pPr>
        <w:pStyle w:val="Default"/>
        <w:ind w:left="720"/>
        <w:rPr>
          <w:rFonts w:asciiTheme="minorHAnsi" w:hAnsiTheme="minorHAnsi" w:cs="Times New Roman"/>
          <w:color w:val="auto"/>
        </w:rPr>
      </w:pPr>
    </w:p>
    <w:p w:rsidR="009A1697" w:rsidRPr="00C50AF7" w:rsidRDefault="009A1697" w:rsidP="00954BAC">
      <w:pPr>
        <w:pStyle w:val="Default"/>
        <w:rPr>
          <w:rFonts w:asciiTheme="minorHAnsi" w:hAnsiTheme="minorHAnsi" w:cs="Times New Roman"/>
          <w:color w:val="auto"/>
        </w:rPr>
      </w:pPr>
    </w:p>
    <w:p w:rsidR="009A1697" w:rsidRPr="00C50AF7" w:rsidRDefault="008E4574" w:rsidP="009A1697">
      <w:pPr>
        <w:pStyle w:val="Default"/>
        <w:rPr>
          <w:rFonts w:asciiTheme="minorHAnsi" w:hAnsiTheme="minorHAnsi" w:cs="Times New Roman"/>
          <w:color w:val="auto"/>
        </w:rPr>
      </w:pPr>
      <w:r w:rsidRPr="00C50AF7" w:rsidDel="008E4574">
        <w:rPr>
          <w:rFonts w:asciiTheme="minorHAnsi" w:hAnsiTheme="minorHAnsi"/>
          <w:i/>
          <w:color w:val="auto"/>
        </w:rPr>
        <w:t xml:space="preserve"> </w:t>
      </w:r>
      <w:r w:rsidR="009A1697" w:rsidRPr="00C50AF7">
        <w:rPr>
          <w:rFonts w:asciiTheme="minorHAnsi" w:hAnsiTheme="minorHAnsi" w:cs="Times New Roman"/>
          <w:color w:val="auto"/>
        </w:rPr>
        <w:t>(b)</w:t>
      </w:r>
      <w:r w:rsidR="009A1697" w:rsidRPr="00C50AF7">
        <w:rPr>
          <w:rFonts w:asciiTheme="minorHAnsi" w:hAnsiTheme="minorHAnsi" w:cs="Times New Roman"/>
          <w:color w:val="auto"/>
        </w:rPr>
        <w:tab/>
        <w:t>Allocation of Principal Rights</w:t>
      </w:r>
    </w:p>
    <w:p w:rsidR="009A1697" w:rsidRPr="00C50AF7" w:rsidRDefault="009A1697" w:rsidP="009A1697">
      <w:pPr>
        <w:pStyle w:val="Default"/>
        <w:rPr>
          <w:rFonts w:asciiTheme="minorHAnsi" w:hAnsiTheme="minorHAnsi" w:cs="Times New Roman"/>
          <w:color w:val="auto"/>
        </w:rPr>
      </w:pPr>
    </w:p>
    <w:p w:rsidR="009A1697" w:rsidRPr="00C50AF7" w:rsidRDefault="009A1697" w:rsidP="00461C86">
      <w:pPr>
        <w:pStyle w:val="Default"/>
        <w:tabs>
          <w:tab w:val="left" w:pos="720"/>
        </w:tabs>
        <w:ind w:left="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Pr>
          <w:rFonts w:asciiTheme="minorHAnsi" w:hAnsiTheme="minorHAnsi" w:cs="Times New Roman"/>
          <w:color w:val="auto"/>
        </w:rPr>
        <w:t xml:space="preserve"> </w:t>
      </w:r>
      <w:r w:rsidRPr="00C50AF7">
        <w:rPr>
          <w:rFonts w:asciiTheme="minorHAnsi" w:hAnsiTheme="minorHAnsi" w:cs="Times New Roman"/>
          <w:color w:val="auto"/>
        </w:rPr>
        <w:t xml:space="preserve">may retain the entire right, title, and interest throughout the world to each subject invention subject to the provisions of this Patent Rights clause and 35 </w:t>
      </w:r>
      <w:r w:rsidRPr="00C50AF7">
        <w:rPr>
          <w:rFonts w:asciiTheme="minorHAnsi" w:hAnsiTheme="minorHAnsi" w:cs="Times New Roman"/>
          <w:color w:val="auto"/>
        </w:rPr>
        <w:lastRenderedPageBreak/>
        <w:t xml:space="preserve">U.S.C. 203. With respect to any subject invention in which the </w:t>
      </w:r>
      <w:r w:rsidR="00C94CE9">
        <w:rPr>
          <w:rFonts w:asciiTheme="minorHAnsi" w:hAnsiTheme="minorHAnsi" w:cs="Times New Roman"/>
          <w:color w:val="auto"/>
        </w:rPr>
        <w:t xml:space="preserve">Subrecipient </w:t>
      </w:r>
      <w:r w:rsidRPr="00C50AF7">
        <w:rPr>
          <w:rFonts w:asciiTheme="minorHAnsi" w:hAnsiTheme="minorHAnsi" w:cs="Times New Roman"/>
          <w:color w:val="auto"/>
        </w:rPr>
        <w:t xml:space="preserve">retains title, the Federal Government shall have a non-exclusive, nontransferable, irrevocable, paid-up license to practice or have practiced for or on behalf of the U.S. the subject </w:t>
      </w:r>
      <w:r w:rsidR="00461C86">
        <w:rPr>
          <w:rFonts w:asciiTheme="minorHAnsi" w:hAnsiTheme="minorHAnsi" w:cs="Times New Roman"/>
          <w:color w:val="auto"/>
        </w:rPr>
        <w:t>invention throughout the world.</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(c)</w:t>
      </w:r>
      <w:r w:rsidRPr="00C50AF7">
        <w:rPr>
          <w:rFonts w:asciiTheme="minorHAnsi" w:hAnsiTheme="minorHAnsi" w:cs="Times New Roman"/>
          <w:color w:val="auto"/>
        </w:rPr>
        <w:tab/>
        <w:t xml:space="preserve">Invention Disclosure, Election of Title and Filing of Patent Applications by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5"/>
        </w:numPr>
        <w:tabs>
          <w:tab w:val="clear" w:pos="1260"/>
        </w:tabs>
        <w:ind w:left="1440" w:hanging="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will disclose each subject invention to DOE within two months after the inventor discloses it in writing to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promptly notify DOE of the acceptance of any manuscript describing the invention for publication or of any on sale or public use planned by the</w:t>
      </w:r>
      <w:r w:rsidR="00C94CE9">
        <w:rPr>
          <w:rFonts w:asciiTheme="minorHAnsi" w:hAnsiTheme="minorHAnsi" w:cs="Times New Roman"/>
          <w:color w:val="auto"/>
        </w:rPr>
        <w:t>Subrecipient</w:t>
      </w:r>
      <w:r w:rsidRPr="00C50AF7">
        <w:rPr>
          <w:rFonts w:asciiTheme="minorHAnsi" w:hAnsiTheme="minorHAnsi" w:cs="Times New Roman"/>
          <w:color w:val="auto"/>
        </w:rPr>
        <w:t>.</w:t>
      </w:r>
    </w:p>
    <w:p w:rsidR="009A1697" w:rsidRPr="00C50AF7" w:rsidRDefault="009A1697" w:rsidP="009A1697">
      <w:pPr>
        <w:pStyle w:val="Default"/>
        <w:ind w:left="2160"/>
        <w:rPr>
          <w:rFonts w:asciiTheme="minorHAnsi" w:hAnsiTheme="minorHAnsi" w:cs="Times New Roman"/>
          <w:color w:val="auto"/>
        </w:rPr>
      </w:pPr>
    </w:p>
    <w:p w:rsidR="009A1697" w:rsidRPr="00C50AF7" w:rsidRDefault="009A1697" w:rsidP="009A1697">
      <w:pPr>
        <w:pStyle w:val="Default"/>
        <w:numPr>
          <w:ilvl w:val="1"/>
          <w:numId w:val="5"/>
        </w:numPr>
        <w:tabs>
          <w:tab w:val="clear" w:pos="1260"/>
        </w:tabs>
        <w:ind w:left="1440" w:hanging="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9A1697" w:rsidRPr="00C50AF7" w:rsidRDefault="009A1697" w:rsidP="009A1697">
      <w:pPr>
        <w:pStyle w:val="Default"/>
        <w:ind w:left="216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(4)</w:t>
      </w:r>
      <w:r w:rsidRPr="00C50AF7">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9A1697" w:rsidRPr="00C50AF7" w:rsidRDefault="009A1697" w:rsidP="009A1697">
      <w:pPr>
        <w:pStyle w:val="Default"/>
        <w:ind w:left="2160"/>
        <w:rPr>
          <w:rFonts w:asciiTheme="minorHAnsi" w:hAnsiTheme="minorHAnsi" w:cs="Times New Roman"/>
          <w:color w:val="auto"/>
        </w:rPr>
      </w:pPr>
    </w:p>
    <w:p w:rsidR="009A1697" w:rsidRPr="00C50AF7" w:rsidRDefault="009A1697" w:rsidP="009A1697">
      <w:pPr>
        <w:pStyle w:val="Default"/>
        <w:numPr>
          <w:ilvl w:val="0"/>
          <w:numId w:val="6"/>
        </w:numPr>
        <w:tabs>
          <w:tab w:val="clear" w:pos="1080"/>
        </w:tabs>
        <w:ind w:left="720"/>
        <w:rPr>
          <w:rFonts w:asciiTheme="minorHAnsi" w:hAnsiTheme="minorHAnsi" w:cs="Times New Roman"/>
          <w:color w:val="auto"/>
        </w:rPr>
      </w:pPr>
      <w:r w:rsidRPr="00C50AF7">
        <w:rPr>
          <w:rFonts w:asciiTheme="minorHAnsi" w:hAnsiTheme="minorHAnsi" w:cs="Times New Roman"/>
          <w:color w:val="auto"/>
        </w:rPr>
        <w:lastRenderedPageBreak/>
        <w:t>Conditions When the Government May Obtain Title</w:t>
      </w:r>
    </w:p>
    <w:p w:rsidR="009A1697" w:rsidRPr="00C50AF7" w:rsidRDefault="009A1697" w:rsidP="009A1697">
      <w:pPr>
        <w:pStyle w:val="Default"/>
        <w:rPr>
          <w:rFonts w:asciiTheme="minorHAnsi" w:hAnsiTheme="minorHAnsi" w:cs="Times New Roman"/>
          <w:color w:val="auto"/>
        </w:rPr>
      </w:pPr>
    </w:p>
    <w:p w:rsidR="009A1697" w:rsidRPr="00C50AF7" w:rsidRDefault="009A1697" w:rsidP="00483D9A">
      <w:pPr>
        <w:pStyle w:val="Default"/>
        <w:ind w:left="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convey to DOE, upon written request, title to any subject invention:</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(1)</w:t>
      </w:r>
      <w:r w:rsidRPr="00C50AF7">
        <w:rPr>
          <w:rFonts w:asciiTheme="minorHAnsi" w:hAnsiTheme="minorHAnsi" w:cs="Times New Roman"/>
          <w:color w:val="auto"/>
        </w:rPr>
        <w:tab/>
        <w:t xml:space="preserve">If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fails to disclose or elect the subject invention within the times specified in paragraph (c) of this patent rights clause, or elects not to retain title; provided that DOE may only request title within 60 days after learning of the failure of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to disclose or elect within the specified times;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(2)</w:t>
      </w:r>
      <w:r w:rsidRPr="00C50AF7">
        <w:rPr>
          <w:rFonts w:asciiTheme="minorHAnsi" w:hAnsiTheme="minorHAnsi" w:cs="Times New Roman"/>
          <w:color w:val="auto"/>
        </w:rPr>
        <w:tab/>
        <w:t xml:space="preserve">In those countries in which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fails to file patent applications within the times specified in paragraph (c) of this Patent Rights clause; provided, however, that if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has filed a patent application in a country after the times specified in paragraph (c) of this Patent Rights clause, but prior to its receipt of the written request of DOE,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shall continue to retain title in that country; or</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In any country in which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decides not to continue the prosecution of any application for, to pay the maintenance fees on, or defend in a reexamination or opposition proceeding on, a patent on a subject invention.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(e)</w:t>
      </w:r>
      <w:r w:rsidRPr="00C50AF7">
        <w:rPr>
          <w:rFonts w:asciiTheme="minorHAnsi" w:hAnsiTheme="minorHAnsi" w:cs="Times New Roman"/>
          <w:color w:val="auto"/>
        </w:rPr>
        <w:tab/>
        <w:t xml:space="preserve">Minimum Rights to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and Protection of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Right To File</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6"/>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will retain a non-exclusive royalty-free license throughout the world in each subject invention to which the Government obtains title, except if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fails to disclose the subject invention within the times specified in paragraph (c) of this Patent Rights clause.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's license extends to its domestic subsidiaries and affiliates, if any, within the corporate structure of which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is a party and includes the right to grant sublicenses of the same scope of the extent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was legally obligated to do so at the time the award was awarded. The license is transferable only with the approval of DOE except when transferred to the successor of that part of the </w:t>
      </w:r>
      <w:r w:rsidR="00C94CE9">
        <w:rPr>
          <w:rFonts w:asciiTheme="minorHAnsi" w:hAnsiTheme="minorHAnsi" w:cs="Times New Roman"/>
          <w:color w:val="auto"/>
        </w:rPr>
        <w:t>Subrecipient</w:t>
      </w:r>
      <w:r w:rsidRPr="00C50AF7">
        <w:rPr>
          <w:rFonts w:asciiTheme="minorHAnsi" w:hAnsiTheme="minorHAnsi" w:cs="Times New Roman"/>
          <w:color w:val="auto"/>
        </w:rPr>
        <w:t>'s business to which the invention pertains.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(2)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's domestic license may be revoked or modified by DOE to the extent necessary to achieve expeditious practical application of the subject invention pursuant to an application for an exclusive license submitted in accordance with applicable provisions at 37 CFR </w:t>
      </w:r>
      <w:r w:rsidR="00954BAC" w:rsidRPr="00C50AF7">
        <w:rPr>
          <w:rFonts w:asciiTheme="minorHAnsi" w:hAnsiTheme="minorHAnsi" w:cs="Times New Roman"/>
          <w:color w:val="auto"/>
        </w:rPr>
        <w:t>P</w:t>
      </w:r>
      <w:r w:rsidRPr="00C50AF7">
        <w:rPr>
          <w:rFonts w:asciiTheme="minorHAnsi" w:hAnsiTheme="minorHAnsi" w:cs="Times New Roman"/>
          <w:color w:val="auto"/>
        </w:rPr>
        <w:t xml:space="preserve">art 404 and the </w:t>
      </w:r>
      <w:r w:rsidR="00954BAC" w:rsidRPr="00C50AF7">
        <w:rPr>
          <w:rFonts w:asciiTheme="minorHAnsi" w:hAnsiTheme="minorHAnsi" w:cs="Times New Roman"/>
          <w:color w:val="auto"/>
        </w:rPr>
        <w:t>DOE</w:t>
      </w:r>
      <w:r w:rsidRPr="00C50AF7">
        <w:rPr>
          <w:rFonts w:asciiTheme="minorHAnsi" w:hAnsiTheme="minorHAnsi" w:cs="Times New Roman"/>
          <w:color w:val="auto"/>
        </w:rPr>
        <w:t>'s licensing regulation</w:t>
      </w:r>
      <w:r w:rsidR="00954BAC" w:rsidRPr="00C50AF7">
        <w:rPr>
          <w:rFonts w:asciiTheme="minorHAnsi" w:hAnsiTheme="minorHAnsi" w:cs="Times New Roman"/>
          <w:color w:val="auto"/>
        </w:rPr>
        <w:t>s</w:t>
      </w:r>
      <w:r w:rsidRPr="00C50AF7">
        <w:rPr>
          <w:rFonts w:asciiTheme="minorHAnsi" w:hAnsiTheme="minorHAnsi" w:cs="Times New Roman"/>
          <w:color w:val="auto"/>
        </w:rPr>
        <w:t xml:space="preserve">.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the DOE to the extent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its licensees, or its domestic </w:t>
      </w:r>
      <w:r w:rsidRPr="00C50AF7">
        <w:rPr>
          <w:rFonts w:asciiTheme="minorHAnsi" w:hAnsiTheme="minorHAnsi" w:cs="Times New Roman"/>
          <w:color w:val="auto"/>
        </w:rPr>
        <w:lastRenderedPageBreak/>
        <w:t>subsidiaries or affiliates have failed to achieve practical application in that foreign country.</w:t>
      </w:r>
    </w:p>
    <w:p w:rsidR="009A1697" w:rsidRPr="00C50AF7" w:rsidRDefault="009A1697" w:rsidP="009A1697">
      <w:pPr>
        <w:pStyle w:val="Default"/>
        <w:rPr>
          <w:rFonts w:asciiTheme="minorHAnsi" w:hAnsiTheme="minorHAnsi" w:cs="Times New Roman"/>
          <w:color w:val="auto"/>
        </w:rPr>
      </w:pPr>
    </w:p>
    <w:p w:rsidR="009A1697" w:rsidRPr="00C50AF7" w:rsidRDefault="009A1697" w:rsidP="00954BAC">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Before revocation or modification of the license, the </w:t>
      </w:r>
      <w:r w:rsidR="00665B07" w:rsidRPr="00C50AF7">
        <w:rPr>
          <w:rFonts w:asciiTheme="minorHAnsi" w:hAnsiTheme="minorHAnsi" w:cs="Times New Roman"/>
          <w:color w:val="auto"/>
        </w:rPr>
        <w:t>DOE</w:t>
      </w:r>
      <w:r w:rsidRPr="00C50AF7">
        <w:rPr>
          <w:rFonts w:asciiTheme="minorHAnsi" w:hAnsiTheme="minorHAnsi" w:cs="Times New Roman"/>
          <w:color w:val="auto"/>
        </w:rPr>
        <w:t xml:space="preserve"> will furnish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 written notice of its intention to revoke or modify the license, and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will be allowed thirty days (or such other time as may be authorized by DOE for good cause shown by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after the notice to show cause why the license should not be revoked or modified.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has the right to appeal, in accordance with applicable regulations in 37 CFR part 404 and the </w:t>
      </w:r>
      <w:r w:rsidR="00665B07" w:rsidRPr="00C50AF7">
        <w:rPr>
          <w:rFonts w:asciiTheme="minorHAnsi" w:hAnsiTheme="minorHAnsi" w:cs="Times New Roman"/>
          <w:color w:val="auto"/>
        </w:rPr>
        <w:t xml:space="preserve">DOE’s </w:t>
      </w:r>
      <w:r w:rsidRPr="00C50AF7">
        <w:rPr>
          <w:rFonts w:asciiTheme="minorHAnsi" w:hAnsiTheme="minorHAnsi" w:cs="Times New Roman"/>
          <w:color w:val="auto"/>
        </w:rPr>
        <w:t xml:space="preserve">licensing regulations, if any, concerning the licensing of Government-owned inventions, any decision concerning the revocation or modification of its license.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(f)</w:t>
      </w:r>
      <w:r w:rsidRPr="00C50AF7">
        <w:rPr>
          <w:rFonts w:asciiTheme="minorHAnsi" w:hAnsiTheme="minorHAnsi" w:cs="Times New Roman"/>
          <w:color w:val="auto"/>
        </w:rPr>
        <w:tab/>
      </w:r>
      <w:r w:rsidR="00C94CE9">
        <w:rPr>
          <w:rFonts w:asciiTheme="minorHAnsi" w:hAnsiTheme="minorHAnsi" w:cs="Times New Roman"/>
          <w:color w:val="auto"/>
        </w:rPr>
        <w:t>Subrecipient</w:t>
      </w:r>
      <w:r w:rsidRPr="00C50AF7">
        <w:rPr>
          <w:rFonts w:asciiTheme="minorHAnsi" w:hAnsiTheme="minorHAnsi" w:cs="Times New Roman"/>
          <w:color w:val="auto"/>
        </w:rPr>
        <w:t xml:space="preserve"> Action To Protect Government’s Interest</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(1)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execute or to have executed and promptly deliver to DOE all instruments necessary to:</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2160" w:hanging="720"/>
        <w:rPr>
          <w:rFonts w:asciiTheme="minorHAnsi" w:hAnsiTheme="minorHAnsi" w:cs="Times New Roman"/>
          <w:color w:val="auto"/>
        </w:rPr>
      </w:pPr>
      <w:r w:rsidRPr="00C50AF7">
        <w:rPr>
          <w:rFonts w:asciiTheme="minorHAnsi" w:hAnsiTheme="minorHAnsi" w:cs="Times New Roman"/>
          <w:color w:val="auto"/>
        </w:rPr>
        <w:t>(i)</w:t>
      </w:r>
      <w:r w:rsidRPr="00C50AF7">
        <w:rPr>
          <w:rFonts w:asciiTheme="minorHAnsi" w:hAnsiTheme="minorHAnsi" w:cs="Times New Roman"/>
          <w:color w:val="auto"/>
        </w:rPr>
        <w:tab/>
        <w:t xml:space="preserve">Establish or confirm the rights the Government has throughout the world in those subject inventions for which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retains title; and</w:t>
      </w:r>
    </w:p>
    <w:p w:rsidR="009A1697" w:rsidRPr="00C50AF7" w:rsidRDefault="009A1697" w:rsidP="009A1697">
      <w:pPr>
        <w:pStyle w:val="Default"/>
        <w:ind w:left="360"/>
        <w:rPr>
          <w:rFonts w:asciiTheme="minorHAnsi" w:hAnsiTheme="minorHAnsi" w:cs="Times New Roman"/>
          <w:color w:val="auto"/>
        </w:rPr>
      </w:pPr>
    </w:p>
    <w:p w:rsidR="009A1697" w:rsidRPr="00C50AF7" w:rsidRDefault="009A1697" w:rsidP="009A1697">
      <w:pPr>
        <w:pStyle w:val="Default"/>
        <w:numPr>
          <w:ilvl w:val="0"/>
          <w:numId w:val="7"/>
        </w:numPr>
        <w:tabs>
          <w:tab w:val="clear" w:pos="2160"/>
        </w:tabs>
        <w:rPr>
          <w:rFonts w:asciiTheme="minorHAnsi" w:hAnsiTheme="minorHAnsi" w:cs="Times New Roman"/>
          <w:color w:val="auto"/>
        </w:rPr>
      </w:pPr>
      <w:r w:rsidRPr="00C50AF7">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9A1697" w:rsidRPr="00C50AF7" w:rsidRDefault="009A1697" w:rsidP="009A1697">
      <w:pPr>
        <w:pStyle w:val="Default"/>
        <w:ind w:left="144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(2)</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each subject invention made under this award in order that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shall instruct such employees through the employee agreements or other suitable educational programs on the importance of reporting inventions in sufficient time to permit the filing of patent applications prior to U.S. or foreign statutory bars.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lastRenderedPageBreak/>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(4)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include, within the specification of any U.S. patent application and any patent issuing thereon covering a subject invention, the following statement: ``This invention was made with Government support under (identify the award) awarded by </w:t>
      </w:r>
      <w:r w:rsidR="00954BAC" w:rsidRPr="00C50AF7">
        <w:rPr>
          <w:rFonts w:asciiTheme="minorHAnsi" w:hAnsiTheme="minorHAnsi" w:cs="Times New Roman"/>
          <w:color w:val="auto"/>
        </w:rPr>
        <w:t>The U.S. Department of Energy</w:t>
      </w:r>
      <w:r w:rsidRPr="00C50AF7">
        <w:rPr>
          <w:rFonts w:asciiTheme="minorHAnsi" w:hAnsiTheme="minorHAnsi" w:cs="Times New Roman"/>
          <w:color w:val="auto"/>
        </w:rPr>
        <w:t xml:space="preserve">. The Government has certain rights in this invention.'' </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(5)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provide a report prior to the close-out of a funding agreement listing all subject inventions or stating that there were none.</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(6)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provide, upon request, the filing date, patent application number and title; a copy of the patent application; and patent number and issue date for any subject invention in any country in which the contractor has applied for a patent.</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(7)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provide an annual listing of all subject inventions which were disclosed to the agency during the period covered by the report.</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hanging="720"/>
        <w:rPr>
          <w:rFonts w:asciiTheme="minorHAnsi" w:hAnsiTheme="minorHAnsi" w:cs="Times New Roman"/>
          <w:color w:val="auto"/>
        </w:rPr>
      </w:pPr>
      <w:r w:rsidRPr="00C50AF7">
        <w:rPr>
          <w:rFonts w:asciiTheme="minorHAnsi" w:hAnsiTheme="minorHAnsi" w:cs="Times New Roman"/>
          <w:color w:val="auto"/>
        </w:rPr>
        <w:t>(g)</w:t>
      </w:r>
      <w:r w:rsidRPr="00C50AF7">
        <w:rPr>
          <w:rFonts w:asciiTheme="minorHAnsi" w:hAnsiTheme="minorHAnsi" w:cs="Times New Roman"/>
          <w:color w:val="auto"/>
        </w:rPr>
        <w:tab/>
        <w:t>Subaward/Contract</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(1)</w:t>
      </w:r>
      <w:r w:rsidRPr="00C50AF7">
        <w:rPr>
          <w:rFonts w:asciiTheme="minorHAnsi" w:hAnsiTheme="minorHAnsi" w:cs="Times New Roman"/>
          <w:color w:val="auto"/>
        </w:rPr>
        <w:tab/>
      </w:r>
      <w:r w:rsidR="007D26F3">
        <w:rPr>
          <w:rFonts w:asciiTheme="minorHAnsi" w:hAnsiTheme="minorHAnsi" w:cs="Times New Roman"/>
          <w:color w:val="auto"/>
        </w:rPr>
        <w:t>[Reserved]</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(2)</w:t>
      </w:r>
      <w:r w:rsidRPr="00C50AF7">
        <w:rPr>
          <w:rFonts w:asciiTheme="minorHAnsi" w:hAnsiTheme="minorHAnsi" w:cs="Times New Roman"/>
          <w:color w:val="auto"/>
        </w:rPr>
        <w:tab/>
        <w:t xml:space="preserve"> </w:t>
      </w:r>
      <w:r w:rsidR="007D26F3">
        <w:rPr>
          <w:rFonts w:asciiTheme="minorHAnsi" w:hAnsiTheme="minorHAnsi" w:cs="Times New Roman"/>
          <w:color w:val="auto"/>
        </w:rPr>
        <w:t>[Reserved]</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In the case of subawards/contracts at any tier, DOE, the </w:t>
      </w:r>
      <w:r w:rsidR="00C94CE9">
        <w:rPr>
          <w:rFonts w:asciiTheme="minorHAnsi" w:hAnsiTheme="minorHAnsi" w:cs="Times New Roman"/>
          <w:color w:val="auto"/>
        </w:rPr>
        <w:t xml:space="preserve">Prime </w:t>
      </w:r>
      <w:r w:rsidRPr="00C50AF7">
        <w:rPr>
          <w:rFonts w:asciiTheme="minorHAnsi" w:hAnsiTheme="minorHAnsi" w:cs="Times New Roman"/>
          <w:color w:val="auto"/>
        </w:rPr>
        <w:t xml:space="preserve">Recipient, and the </w:t>
      </w:r>
      <w:r w:rsidR="00C94CE9">
        <w:rPr>
          <w:rFonts w:asciiTheme="minorHAnsi" w:hAnsiTheme="minorHAnsi" w:cs="Times New Roman"/>
          <w:color w:val="auto"/>
        </w:rPr>
        <w:t>S</w:t>
      </w:r>
      <w:r w:rsidRPr="00C50AF7">
        <w:rPr>
          <w:rFonts w:asciiTheme="minorHAnsi" w:hAnsiTheme="minorHAnsi" w:cs="Times New Roman"/>
          <w:color w:val="auto"/>
        </w:rPr>
        <w:t>ubrecipient/</w:t>
      </w:r>
      <w:r w:rsidR="00C94CE9">
        <w:rPr>
          <w:rFonts w:asciiTheme="minorHAnsi" w:hAnsiTheme="minorHAnsi" w:cs="Times New Roman"/>
          <w:color w:val="auto"/>
        </w:rPr>
        <w:t>C</w:t>
      </w:r>
      <w:r w:rsidRPr="00C50AF7">
        <w:rPr>
          <w:rFonts w:asciiTheme="minorHAnsi" w:hAnsiTheme="minorHAnsi" w:cs="Times New Roman"/>
          <w:color w:val="auto"/>
        </w:rPr>
        <w:t xml:space="preserve">ontractor agree that the mutual obligations of the parties created by this clause constitute a contract between the </w:t>
      </w:r>
      <w:r w:rsidR="00C94CE9">
        <w:rPr>
          <w:rFonts w:asciiTheme="minorHAnsi" w:hAnsiTheme="minorHAnsi" w:cs="Times New Roman"/>
          <w:color w:val="auto"/>
        </w:rPr>
        <w:t>S</w:t>
      </w:r>
      <w:r w:rsidRPr="00C50AF7">
        <w:rPr>
          <w:rFonts w:asciiTheme="minorHAnsi" w:hAnsiTheme="minorHAnsi" w:cs="Times New Roman"/>
          <w:color w:val="auto"/>
        </w:rPr>
        <w:t>ubrecipient/</w:t>
      </w:r>
      <w:r w:rsidR="00C94CE9">
        <w:rPr>
          <w:rFonts w:asciiTheme="minorHAnsi" w:hAnsiTheme="minorHAnsi" w:cs="Times New Roman"/>
          <w:color w:val="auto"/>
        </w:rPr>
        <w:t>C</w:t>
      </w:r>
      <w:r w:rsidRPr="00C50AF7">
        <w:rPr>
          <w:rFonts w:asciiTheme="minorHAnsi" w:hAnsiTheme="minorHAnsi" w:cs="Times New Roman"/>
          <w:color w:val="auto"/>
        </w:rPr>
        <w:t xml:space="preserve">ontractor and DOE with respect to those matters covered by the clause.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0"/>
          <w:numId w:val="8"/>
        </w:numPr>
        <w:tabs>
          <w:tab w:val="clear" w:pos="1080"/>
        </w:tabs>
        <w:ind w:left="720"/>
        <w:rPr>
          <w:rFonts w:asciiTheme="minorHAnsi" w:hAnsiTheme="minorHAnsi" w:cs="Times New Roman"/>
          <w:color w:val="auto"/>
        </w:rPr>
      </w:pPr>
      <w:r w:rsidRPr="00C50AF7">
        <w:rPr>
          <w:rFonts w:asciiTheme="minorHAnsi" w:hAnsiTheme="minorHAnsi" w:cs="Times New Roman"/>
          <w:color w:val="auto"/>
        </w:rPr>
        <w:t>Reporting on Utilization of Subject Inventions</w:t>
      </w:r>
    </w:p>
    <w:p w:rsidR="009A1697" w:rsidRPr="00C50AF7" w:rsidRDefault="009A1697" w:rsidP="009A1697">
      <w:pPr>
        <w:pStyle w:val="Default"/>
        <w:ind w:left="360"/>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The </w:t>
      </w:r>
      <w:r w:rsidR="00FD7B4E">
        <w:rPr>
          <w:rFonts w:asciiTheme="minorHAnsi" w:hAnsiTheme="minorHAnsi" w:cs="Times New Roman"/>
          <w:color w:val="auto"/>
        </w:rPr>
        <w:t>Subrecipient</w:t>
      </w:r>
      <w:r w:rsidR="00FD7B4E" w:rsidRPr="00C50AF7" w:rsidDel="00FD7B4E">
        <w:rPr>
          <w:rFonts w:asciiTheme="minorHAnsi" w:hAnsiTheme="minorHAnsi" w:cs="Times New Roman"/>
          <w:color w:val="auto"/>
        </w:rPr>
        <w:t xml:space="preserve"> </w:t>
      </w:r>
      <w:r w:rsidRPr="00C50AF7">
        <w:rPr>
          <w:rFonts w:asciiTheme="minorHAnsi" w:hAnsiTheme="minorHAnsi" w:cs="Times New Roman"/>
          <w:color w:val="auto"/>
        </w:rPr>
        <w:t xml:space="preserve">agrees to submit on request periodic reports no more frequently than annually on the utilization of a subject invention or on efforts at obtaining such utilization that are being made by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or its licensees or assignees. Such reports shall include information regarding the status of development, date of first commercial sale or use, gross royalties received by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and such other data and information as DOE may reasonably specify.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also agrees to provide additional reports in connection with any march-in proceeding undertaken by DOE in accordance with paragraph (j) of this Patent Rights clause. As required by 35 U.S.C. 202(c)(5), DOE agrees it will not disclose such information to persons outside the Government without the permission of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hanging="720"/>
        <w:rPr>
          <w:rFonts w:asciiTheme="minorHAnsi" w:hAnsiTheme="minorHAnsi" w:cs="Times New Roman"/>
          <w:color w:val="auto"/>
        </w:rPr>
      </w:pPr>
      <w:r w:rsidRPr="00C50AF7">
        <w:rPr>
          <w:rFonts w:asciiTheme="minorHAnsi" w:hAnsiTheme="minorHAnsi" w:cs="Times New Roman"/>
          <w:color w:val="auto"/>
        </w:rPr>
        <w:lastRenderedPageBreak/>
        <w:t xml:space="preserve">(i) </w:t>
      </w:r>
      <w:r w:rsidRPr="00C50AF7">
        <w:rPr>
          <w:rFonts w:asciiTheme="minorHAnsi" w:hAnsiTheme="minorHAnsi" w:cs="Times New Roman"/>
          <w:color w:val="auto"/>
        </w:rPr>
        <w:tab/>
        <w:t>Preference for United States Industry.</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Notwithstanding any other provision of this Patent Rights clause,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hanging="720"/>
        <w:rPr>
          <w:rFonts w:asciiTheme="minorHAnsi" w:hAnsiTheme="minorHAnsi" w:cs="Times New Roman"/>
          <w:color w:val="auto"/>
        </w:rPr>
      </w:pPr>
      <w:r w:rsidRPr="00C50AF7">
        <w:rPr>
          <w:rFonts w:asciiTheme="minorHAnsi" w:hAnsiTheme="minorHAnsi" w:cs="Times New Roman"/>
          <w:color w:val="auto"/>
        </w:rPr>
        <w:t>(j)</w:t>
      </w:r>
      <w:r w:rsidRPr="00C50AF7">
        <w:rPr>
          <w:rFonts w:asciiTheme="minorHAnsi" w:hAnsiTheme="minorHAnsi" w:cs="Times New Roman"/>
          <w:color w:val="auto"/>
        </w:rPr>
        <w:tab/>
        <w:t>March-in-Rights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agrees that with respect to any subject invention in which it has acquired title, DOE has the right in accordance with procedures at 37 CFR 401.6 and any supplemental regulations of the Agency to require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an assignee or exclusive licensee of a subject invention to grant a non-exclusive, partially exclusive, or exclusive license in any field of use to a responsible applicant or applicants, upon terms that are reasonable under the circumstances and if the </w:t>
      </w:r>
      <w:r w:rsidR="00FD7B4E">
        <w:rPr>
          <w:rFonts w:asciiTheme="minorHAnsi" w:hAnsiTheme="minorHAnsi" w:cs="Times New Roman"/>
          <w:color w:val="auto"/>
        </w:rPr>
        <w:t>Subrecipient</w:t>
      </w:r>
      <w:r w:rsidRPr="00C50AF7">
        <w:rPr>
          <w:rFonts w:asciiTheme="minorHAnsi" w:hAnsiTheme="minorHAnsi" w:cs="Times New Roman"/>
          <w:color w:val="auto"/>
        </w:rPr>
        <w:t>, assignee, or exclusive licensee refuses such a request, DOE has the right to grant such a license itself if DOE determines that:</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4"/>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Such action is necessary because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or assignee has not taken or is not expected to take within a reasonable time, effective steps to achieve practical application of the subject invention in such field of use;</w:t>
      </w:r>
    </w:p>
    <w:p w:rsidR="009A1697" w:rsidRPr="00C50AF7" w:rsidRDefault="009A1697" w:rsidP="009A1697">
      <w:pPr>
        <w:pStyle w:val="Default"/>
        <w:ind w:left="1080"/>
        <w:rPr>
          <w:rFonts w:asciiTheme="minorHAnsi" w:hAnsiTheme="minorHAnsi" w:cs="Times New Roman"/>
          <w:color w:val="auto"/>
        </w:rPr>
      </w:pPr>
    </w:p>
    <w:p w:rsidR="009A1697" w:rsidRPr="00C50AF7" w:rsidRDefault="009A1697" w:rsidP="009A1697">
      <w:pPr>
        <w:pStyle w:val="Default"/>
        <w:numPr>
          <w:ilvl w:val="1"/>
          <w:numId w:val="4"/>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Such action is necessary to alleviate health or safety needs which are not reasonably satisfied by the </w:t>
      </w:r>
      <w:r w:rsidR="00FD7B4E">
        <w:rPr>
          <w:rFonts w:asciiTheme="minorHAnsi" w:hAnsiTheme="minorHAnsi" w:cs="Times New Roman"/>
          <w:color w:val="auto"/>
        </w:rPr>
        <w:t>Subrecipient</w:t>
      </w:r>
      <w:r w:rsidRPr="00C50AF7">
        <w:rPr>
          <w:rFonts w:asciiTheme="minorHAnsi" w:hAnsiTheme="minorHAnsi" w:cs="Times New Roman"/>
          <w:color w:val="auto"/>
        </w:rPr>
        <w:t>, assignee, or their licensees;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4"/>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Such action is necessary to meet requirements for public use specified by Federal regulations and such requirements are not reasonably satisfied by the </w:t>
      </w:r>
      <w:r w:rsidR="00FD7B4E">
        <w:rPr>
          <w:rFonts w:asciiTheme="minorHAnsi" w:hAnsiTheme="minorHAnsi" w:cs="Times New Roman"/>
          <w:color w:val="auto"/>
        </w:rPr>
        <w:t>Subrecipient</w:t>
      </w:r>
      <w:r w:rsidRPr="00C50AF7">
        <w:rPr>
          <w:rFonts w:asciiTheme="minorHAnsi" w:hAnsiTheme="minorHAnsi" w:cs="Times New Roman"/>
          <w:color w:val="auto"/>
        </w:rPr>
        <w:t>, assignee, or licensee; or</w:t>
      </w:r>
    </w:p>
    <w:p w:rsidR="009A1697" w:rsidRPr="00C50AF7" w:rsidRDefault="009A1697" w:rsidP="009A1697">
      <w:pPr>
        <w:pStyle w:val="Default"/>
        <w:ind w:left="108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(4) </w:t>
      </w:r>
      <w:r w:rsidRPr="00C50AF7">
        <w:rPr>
          <w:rFonts w:asciiTheme="minorHAnsi" w:hAnsiTheme="minorHAnsi" w:cs="Times New Roman"/>
          <w:color w:val="auto"/>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9A1697" w:rsidRPr="00C50AF7" w:rsidRDefault="009A1697" w:rsidP="009A1697">
      <w:pPr>
        <w:pStyle w:val="Default"/>
        <w:ind w:left="720"/>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(k) </w:t>
      </w:r>
      <w:r w:rsidRPr="00C50AF7">
        <w:rPr>
          <w:rFonts w:asciiTheme="minorHAnsi" w:hAnsiTheme="minorHAnsi" w:cs="Times New Roman"/>
          <w:color w:val="auto"/>
        </w:rPr>
        <w:tab/>
        <w:t xml:space="preserve">Special Provisions for </w:t>
      </w:r>
      <w:r w:rsidR="00334CD8">
        <w:rPr>
          <w:rFonts w:asciiTheme="minorHAnsi" w:hAnsiTheme="minorHAnsi" w:cs="Times New Roman"/>
          <w:color w:val="auto"/>
        </w:rPr>
        <w:t>Sub</w:t>
      </w:r>
      <w:r w:rsidR="00F93EB9">
        <w:rPr>
          <w:rFonts w:asciiTheme="minorHAnsi" w:hAnsiTheme="minorHAnsi" w:cs="Times New Roman"/>
          <w:color w:val="auto"/>
        </w:rPr>
        <w:t>a</w:t>
      </w:r>
      <w:r w:rsidRPr="00C50AF7">
        <w:rPr>
          <w:rFonts w:asciiTheme="minorHAnsi" w:hAnsiTheme="minorHAnsi" w:cs="Times New Roman"/>
          <w:color w:val="auto"/>
        </w:rPr>
        <w:t>wards With Nonprofit Organizations</w:t>
      </w:r>
    </w:p>
    <w:p w:rsidR="009A1697" w:rsidRPr="00C50AF7" w:rsidRDefault="009A1697" w:rsidP="009A1697">
      <w:pPr>
        <w:pStyle w:val="Default"/>
        <w:rPr>
          <w:rFonts w:asciiTheme="minorHAnsi" w:hAnsiTheme="minorHAnsi" w:cs="Times New Roman"/>
          <w:color w:val="auto"/>
        </w:rPr>
      </w:pPr>
    </w:p>
    <w:p w:rsidR="009A1697" w:rsidRPr="00C50AF7" w:rsidRDefault="00F93EB9" w:rsidP="009A1697">
      <w:pPr>
        <w:pStyle w:val="Default"/>
        <w:ind w:firstLine="720"/>
        <w:rPr>
          <w:rFonts w:asciiTheme="minorHAnsi" w:hAnsiTheme="minorHAnsi" w:cs="Times New Roman"/>
          <w:color w:val="auto"/>
        </w:rPr>
      </w:pPr>
      <w:r>
        <w:rPr>
          <w:rFonts w:asciiTheme="minorHAnsi" w:hAnsiTheme="minorHAnsi" w:cs="Times New Roman"/>
          <w:color w:val="auto"/>
        </w:rPr>
        <w:t>If a Nonprofit Organization, t</w:t>
      </w:r>
      <w:r w:rsidR="009A1697" w:rsidRPr="00C50AF7">
        <w:rPr>
          <w:rFonts w:asciiTheme="minorHAnsi" w:hAnsiTheme="minorHAnsi" w:cs="Times New Roman"/>
          <w:color w:val="auto"/>
        </w:rPr>
        <w:t xml:space="preserve">he </w:t>
      </w:r>
      <w:r w:rsidR="00FD7B4E">
        <w:rPr>
          <w:rFonts w:asciiTheme="minorHAnsi" w:hAnsiTheme="minorHAnsi" w:cs="Times New Roman"/>
          <w:color w:val="auto"/>
        </w:rPr>
        <w:t>Subrecipient</w:t>
      </w:r>
      <w:r w:rsidR="009A1697" w:rsidRPr="00C50AF7">
        <w:rPr>
          <w:rFonts w:asciiTheme="minorHAnsi" w:hAnsiTheme="minorHAnsi" w:cs="Times New Roman"/>
          <w:color w:val="auto"/>
        </w:rPr>
        <w:t xml:space="preserve"> agrees that:</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(1) </w:t>
      </w:r>
      <w:r w:rsidRPr="00C50AF7">
        <w:rPr>
          <w:rFonts w:asciiTheme="minorHAnsi" w:hAnsiTheme="minorHAnsi" w:cs="Times New Roman"/>
          <w:color w:val="auto"/>
        </w:rPr>
        <w:tab/>
        <w:t xml:space="preserve">Rights to a subject invention in the U.S. may not be assigned without the approval of DOE, except where such assignment is made to an organization which has as one of its primary functions the management of inventions, provided that such assignee will be subject to the same provisions as the </w:t>
      </w:r>
      <w:r w:rsidR="00FD7B4E">
        <w:rPr>
          <w:rFonts w:asciiTheme="minorHAnsi" w:hAnsiTheme="minorHAnsi" w:cs="Times New Roman"/>
          <w:color w:val="auto"/>
        </w:rPr>
        <w:t>Subrecipient</w:t>
      </w:r>
      <w:r w:rsidRPr="00C50AF7">
        <w:rPr>
          <w:rFonts w:asciiTheme="minorHAnsi" w:hAnsiTheme="minorHAnsi" w:cs="Times New Roman"/>
          <w:color w:val="auto"/>
        </w:rPr>
        <w:t>;</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(2) </w:t>
      </w:r>
      <w:r w:rsidRPr="00C50AF7">
        <w:rPr>
          <w:rFonts w:asciiTheme="minorHAnsi" w:hAnsiTheme="minorHAnsi" w:cs="Times New Roman"/>
          <w:color w:val="auto"/>
        </w:rPr>
        <w:tab/>
        <w:t xml:space="preserve">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will share royalties collected on a subject invention with the inventor, including Federal employee co-inventors (when DOE deems it appropriate) when the subject invention is assigned in accordance with 35 U.S.C. 202(e) and 37 CFR 401.10;</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D20341">
      <w:pPr>
        <w:pStyle w:val="Default"/>
        <w:ind w:left="1350" w:hanging="630"/>
        <w:rPr>
          <w:rFonts w:asciiTheme="minorHAnsi" w:hAnsiTheme="minorHAnsi" w:cs="Times New Roman"/>
          <w:color w:val="auto"/>
        </w:rPr>
      </w:pPr>
      <w:r w:rsidRPr="00C50AF7">
        <w:rPr>
          <w:rFonts w:asciiTheme="minorHAnsi" w:hAnsiTheme="minorHAnsi"/>
          <w:color w:val="auto"/>
        </w:rPr>
        <w:t xml:space="preserve">(3)      </w:t>
      </w:r>
      <w:r w:rsidR="00D20341" w:rsidRPr="00C50AF7">
        <w:rPr>
          <w:rFonts w:asciiTheme="minorHAnsi" w:hAnsiTheme="minorHAnsi" w:cs="Times New Roman"/>
          <w:color w:val="auto"/>
        </w:rPr>
        <w:t xml:space="preserve">The balance of any royalties or income earned by the </w:t>
      </w:r>
      <w:r w:rsidR="00FD7B4E">
        <w:rPr>
          <w:rFonts w:asciiTheme="minorHAnsi" w:hAnsiTheme="minorHAnsi" w:cs="Times New Roman"/>
          <w:color w:val="auto"/>
        </w:rPr>
        <w:t>Subrecipient</w:t>
      </w:r>
      <w:r w:rsidR="00D20341" w:rsidRPr="00C50AF7">
        <w:rPr>
          <w:rFonts w:asciiTheme="minorHAnsi" w:hAnsiTheme="minorHAnsi" w:cs="Times New Roman"/>
          <w:color w:val="auto"/>
        </w:rPr>
        <w:t xml:space="preserve"> with respect to subject inventions, after payment of expenses (including payments to inventors) incidental to the administration of subject inventions, will be utilized for the support of scientific or engineering research or education; and</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(4) </w:t>
      </w:r>
      <w:r w:rsidRPr="00C50AF7">
        <w:rPr>
          <w:rFonts w:asciiTheme="minorHAnsi" w:hAnsiTheme="minorHAnsi" w:cs="Times New Roman"/>
          <w:color w:val="auto"/>
        </w:rPr>
        <w:tab/>
        <w:t xml:space="preserve">It will make efforts that are reasonable under the circumstances to attract licensees of subject inventions that are small business firms and that it will give preference to a small business firm </w:t>
      </w:r>
      <w:r w:rsidR="004F4B2E" w:rsidRPr="00C50AF7">
        <w:rPr>
          <w:rFonts w:asciiTheme="minorHAnsi" w:hAnsiTheme="minorHAnsi" w:cs="Times New Roman"/>
          <w:color w:val="auto"/>
        </w:rPr>
        <w:t xml:space="preserve">when licensing a subject invention </w:t>
      </w:r>
      <w:r w:rsidRPr="00C50AF7">
        <w:rPr>
          <w:rFonts w:asciiTheme="minorHAnsi" w:hAnsiTheme="minorHAnsi" w:cs="Times New Roman"/>
          <w:color w:val="auto"/>
        </w:rPr>
        <w:t xml:space="preserve">if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determines that the small business firm has a plan or proposal for marketing the invention which, if executed, is equally likely to bring the invention to practical application as any plans or proposals from applicants that are not small business firms; provided that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is also satisfied that the small business firm has the capability and resources to carry out its plan or proposal. The decision whether to give a preference in any specific case will be at the discretion of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However,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agrees that the </w:t>
      </w:r>
      <w:r w:rsidR="004F4B2E" w:rsidRPr="00C50AF7">
        <w:rPr>
          <w:rFonts w:asciiTheme="minorHAnsi" w:hAnsiTheme="minorHAnsi" w:cs="Times New Roman"/>
          <w:color w:val="auto"/>
        </w:rPr>
        <w:t xml:space="preserve">Assistant </w:t>
      </w:r>
      <w:r w:rsidRPr="00C50AF7">
        <w:rPr>
          <w:rFonts w:asciiTheme="minorHAnsi" w:hAnsiTheme="minorHAnsi" w:cs="Times New Roman"/>
          <w:color w:val="auto"/>
        </w:rPr>
        <w:t xml:space="preserve">Secretary of </w:t>
      </w:r>
      <w:r w:rsidR="004F4B2E" w:rsidRPr="00C50AF7">
        <w:rPr>
          <w:rFonts w:asciiTheme="minorHAnsi" w:hAnsiTheme="minorHAnsi" w:cs="Times New Roman"/>
          <w:color w:val="auto"/>
        </w:rPr>
        <w:t xml:space="preserve">Commerce for Technology Policy </w:t>
      </w:r>
      <w:r w:rsidRPr="00C50AF7">
        <w:rPr>
          <w:rFonts w:asciiTheme="minorHAnsi" w:hAnsiTheme="minorHAnsi" w:cs="Times New Roman"/>
          <w:color w:val="auto"/>
        </w:rPr>
        <w:t xml:space="preserve">may review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's licensing program and decisions regarding small business applicants, and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will negotiate changes to its licensing policies, procedures or practices with the Secretary when the Secretary's review discloses that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could take reasonable steps to implement more effectively the requirements of this paragraph (k)(4).</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0"/>
          <w:numId w:val="1"/>
        </w:numPr>
        <w:tabs>
          <w:tab w:val="clear" w:pos="1080"/>
        </w:tabs>
        <w:ind w:left="720"/>
        <w:rPr>
          <w:rFonts w:asciiTheme="minorHAnsi" w:hAnsiTheme="minorHAnsi" w:cs="Times New Roman"/>
          <w:color w:val="auto"/>
        </w:rPr>
      </w:pPr>
      <w:r w:rsidRPr="00C50AF7">
        <w:rPr>
          <w:rFonts w:asciiTheme="minorHAnsi" w:hAnsiTheme="minorHAnsi" w:cs="Times New Roman"/>
          <w:color w:val="auto"/>
        </w:rPr>
        <w:t>Communications</w:t>
      </w:r>
    </w:p>
    <w:p w:rsidR="009A1697" w:rsidRPr="00C50AF7" w:rsidRDefault="009A1697" w:rsidP="009A1697">
      <w:pPr>
        <w:pStyle w:val="Default"/>
        <w:ind w:left="360"/>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All communications required by this Patent Rights clause should be sent to the DOE Patent Counsel via email at </w:t>
      </w:r>
      <w:r w:rsidR="00CB4847">
        <w:rPr>
          <w:rFonts w:asciiTheme="minorHAnsi" w:hAnsiTheme="minorHAnsi" w:cs="Times New Roman"/>
          <w:color w:val="auto"/>
        </w:rPr>
        <w:t>GC-62</w:t>
      </w:r>
      <w:r w:rsidRPr="00C50AF7">
        <w:rPr>
          <w:rFonts w:asciiTheme="minorHAnsi" w:hAnsiTheme="minorHAnsi" w:cs="Times New Roman"/>
          <w:color w:val="auto"/>
        </w:rPr>
        <w:t xml:space="preserve">@hq.doe.gov </w:t>
      </w:r>
      <w:r w:rsidRPr="00C50AF7">
        <w:rPr>
          <w:rFonts w:asciiTheme="minorHAnsi" w:hAnsiTheme="minorHAnsi" w:cs="Times New Roman"/>
          <w:color w:val="auto"/>
          <w:u w:val="single"/>
        </w:rPr>
        <w:t>and</w:t>
      </w:r>
      <w:r w:rsidRPr="00C50AF7">
        <w:rPr>
          <w:rFonts w:asciiTheme="minorHAnsi" w:hAnsiTheme="minorHAnsi" w:cs="Times New Roman"/>
          <w:color w:val="auto"/>
        </w:rPr>
        <w:t xml:space="preserve"> ARPA-E Chief Counsel via email at ARPA-E-Counsel@hq.doe.gov. Alternatively, </w:t>
      </w:r>
      <w:r w:rsidR="00FD7B4E">
        <w:rPr>
          <w:rFonts w:asciiTheme="minorHAnsi" w:hAnsiTheme="minorHAnsi" w:cs="Times New Roman"/>
          <w:color w:val="auto"/>
        </w:rPr>
        <w:t>the Subrecipient</w:t>
      </w:r>
      <w:r w:rsidR="00FD7B4E" w:rsidRPr="00C50AF7">
        <w:rPr>
          <w:rFonts w:asciiTheme="minorHAnsi" w:hAnsiTheme="minorHAnsi" w:cs="Times New Roman"/>
          <w:color w:val="auto"/>
        </w:rPr>
        <w:t xml:space="preserve"> </w:t>
      </w:r>
      <w:r w:rsidRPr="00C50AF7">
        <w:rPr>
          <w:rFonts w:asciiTheme="minorHAnsi" w:hAnsiTheme="minorHAnsi" w:cs="Times New Roman"/>
          <w:color w:val="auto"/>
        </w:rPr>
        <w:t>may utilize iEdison at https://s-edison.info.nih.gov/iEdison/.</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(m)</w:t>
      </w:r>
      <w:r w:rsidRPr="00C50AF7">
        <w:rPr>
          <w:rFonts w:asciiTheme="minorHAnsi" w:hAnsiTheme="minorHAnsi" w:cs="Times New Roman"/>
          <w:color w:val="auto"/>
        </w:rPr>
        <w:tab/>
        <w:t>Electronic Filing</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CM16"/>
        <w:spacing w:line="240" w:lineRule="atLeast"/>
        <w:ind w:left="720" w:right="945"/>
        <w:rPr>
          <w:rFonts w:asciiTheme="minorHAnsi" w:hAnsiTheme="minorHAnsi"/>
        </w:rPr>
      </w:pPr>
      <w:r w:rsidRPr="00C50AF7">
        <w:rPr>
          <w:rFonts w:asciiTheme="minorHAnsi" w:hAnsiTheme="minorHAnsi"/>
        </w:rPr>
        <w:lastRenderedPageBreak/>
        <w:t xml:space="preserve">Unless otherwise Specified in the award, the information identified in paragraphs (f)(2),  (f)(3), (f)(5), (f)(6), and (f)(7) may be electronically filed. </w:t>
      </w:r>
    </w:p>
    <w:p w:rsidR="00D20341" w:rsidRDefault="00D20341" w:rsidP="00D20341">
      <w:pPr>
        <w:pStyle w:val="Default"/>
        <w:rPr>
          <w:rFonts w:asciiTheme="minorHAnsi" w:hAnsiTheme="minorHAnsi" w:cs="Times New Roman"/>
          <w:color w:val="auto"/>
        </w:rPr>
      </w:pPr>
      <w:r w:rsidRPr="00C50AF7">
        <w:rPr>
          <w:rFonts w:asciiTheme="minorHAnsi" w:hAnsiTheme="minorHAnsi" w:cs="Times New Roman"/>
          <w:color w:val="auto"/>
        </w:rPr>
        <w:t>(End of clause)</w:t>
      </w:r>
    </w:p>
    <w:p w:rsidR="00CD2947" w:rsidRDefault="00CD2947" w:rsidP="00D20341">
      <w:pPr>
        <w:pStyle w:val="Default"/>
        <w:rPr>
          <w:rFonts w:asciiTheme="minorHAnsi" w:hAnsiTheme="minorHAnsi" w:cs="Times New Roman"/>
          <w:color w:val="auto"/>
        </w:rPr>
      </w:pPr>
    </w:p>
    <w:p w:rsidR="00CD2947" w:rsidRPr="00CD2947" w:rsidRDefault="00CD2947" w:rsidP="00CD2947">
      <w:pPr>
        <w:rPr>
          <w:rFonts w:asciiTheme="minorHAnsi" w:hAnsiTheme="minorHAnsi"/>
          <w:b/>
          <w:sz w:val="24"/>
          <w:szCs w:val="24"/>
        </w:rPr>
      </w:pPr>
      <w:r>
        <w:rPr>
          <w:b/>
          <w:sz w:val="24"/>
          <w:szCs w:val="24"/>
        </w:rPr>
        <w:t>3.</w:t>
      </w:r>
      <w:r w:rsidRPr="00710395">
        <w:rPr>
          <w:b/>
          <w:sz w:val="24"/>
          <w:szCs w:val="24"/>
        </w:rPr>
        <w:tab/>
      </w:r>
      <w:r w:rsidRPr="00CD2947">
        <w:rPr>
          <w:rFonts w:asciiTheme="minorHAnsi" w:hAnsiTheme="minorHAnsi"/>
          <w:b/>
          <w:sz w:val="24"/>
          <w:szCs w:val="24"/>
        </w:rPr>
        <w:t>Enhanced U.S. Competitiveness</w:t>
      </w:r>
    </w:p>
    <w:p w:rsidR="00CD2947" w:rsidRPr="00CD2947" w:rsidRDefault="00CD2947" w:rsidP="00CD2947">
      <w:pPr>
        <w:rPr>
          <w:rFonts w:asciiTheme="minorHAnsi" w:hAnsiTheme="minorHAnsi"/>
          <w:b/>
          <w:bCs/>
          <w:sz w:val="24"/>
          <w:szCs w:val="24"/>
        </w:rPr>
      </w:pP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(a)</w:t>
      </w:r>
      <w:r w:rsidRPr="00CD2947">
        <w:rPr>
          <w:rFonts w:asciiTheme="minorHAnsi" w:hAnsiTheme="minorHAnsi"/>
          <w:color w:val="000000"/>
          <w:sz w:val="24"/>
          <w:szCs w:val="24"/>
        </w:rPr>
        <w:tab/>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(b)</w:t>
      </w:r>
      <w:r w:rsidRPr="00CD2947">
        <w:rPr>
          <w:rFonts w:asciiTheme="minorHAnsi" w:hAnsiTheme="minorHAnsi"/>
          <w:color w:val="000000"/>
          <w:sz w:val="24"/>
          <w:szCs w:val="24"/>
        </w:rPr>
        <w:tab/>
        <w:t>The U.S. Manufacturing Plan submitted as part of the Application process on [DATE]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(c)</w:t>
      </w:r>
      <w:r w:rsidRPr="00CD2947">
        <w:rPr>
          <w:rFonts w:asciiTheme="minorHAnsi" w:hAnsiTheme="minorHAnsi"/>
          <w:color w:val="000000"/>
          <w:sz w:val="24"/>
          <w:szCs w:val="24"/>
        </w:rPr>
        <w:tab/>
        <w:t xml:space="preserve">If the Recipient or a licensee of the Recipient fails to comply with the foregoing U.S. manufacturing requirement then: </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(1)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(2) the Recipient shall and hereby assigns to DOE all licenses that grant any rights to any Subject Inventions to an unaffiliated third party</w:t>
      </w:r>
      <w:r w:rsidRPr="00CD2947">
        <w:rPr>
          <w:rFonts w:asciiTheme="minorHAnsi" w:hAnsiTheme="minorHAnsi"/>
          <w:color w:val="000000"/>
          <w:sz w:val="24"/>
          <w:szCs w:val="24"/>
          <w:vertAlign w:val="superscript"/>
        </w:rPr>
        <w:footnoteReference w:id="1"/>
      </w:r>
      <w:r w:rsidRPr="00CD2947">
        <w:rPr>
          <w:rFonts w:asciiTheme="minorHAnsi" w:hAnsiTheme="minorHAnsi"/>
          <w:color w:val="000000"/>
          <w:sz w:val="24"/>
          <w:szCs w:val="24"/>
        </w:rPr>
        <w:t xml:space="preserve">  that is in compliance with the domestic manufacturing requirement of this provision;</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 xml:space="preserve">(3) all licenses, not subject to (ii), that grant any rights to any Subject Inventions shall immediately be terminated without compensation from DOE; and </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 xml:space="preserve">(4)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hanging="630"/>
        <w:jc w:val="both"/>
        <w:rPr>
          <w:rFonts w:asciiTheme="minorHAnsi" w:hAnsiTheme="minorHAnsi"/>
          <w:color w:val="000000"/>
          <w:sz w:val="24"/>
          <w:szCs w:val="24"/>
        </w:rPr>
      </w:pPr>
      <w:r w:rsidRPr="00CD2947">
        <w:rPr>
          <w:rFonts w:asciiTheme="minorHAnsi" w:hAnsiTheme="minorHAnsi"/>
          <w:color w:val="000000"/>
          <w:sz w:val="24"/>
          <w:szCs w:val="24"/>
        </w:rPr>
        <w:t>(d)</w:t>
      </w:r>
      <w:r w:rsidRPr="00CD2947">
        <w:rPr>
          <w:rFonts w:asciiTheme="minorHAnsi" w:hAnsiTheme="minorHAnsi"/>
          <w:color w:val="000000"/>
          <w:sz w:val="24"/>
          <w:szCs w:val="24"/>
        </w:rPr>
        <w:tab/>
        <w:t xml:space="preserve">The Recipient may request a waiver or modification of this U.S. Competitiveness </w:t>
      </w:r>
      <w:r w:rsidRPr="00CD2947">
        <w:rPr>
          <w:rFonts w:asciiTheme="minorHAnsi" w:hAnsiTheme="minorHAnsi"/>
          <w:color w:val="000000"/>
          <w:sz w:val="24"/>
          <w:szCs w:val="24"/>
        </w:rPr>
        <w:lastRenderedPageBreak/>
        <w:t xml:space="preserve">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CD2947" w:rsidRPr="00CD2947" w:rsidRDefault="00CD2947" w:rsidP="00CD2947">
      <w:pPr>
        <w:ind w:left="720"/>
        <w:jc w:val="both"/>
        <w:rPr>
          <w:rFonts w:asciiTheme="minorHAnsi" w:hAnsiTheme="minorHAnsi"/>
          <w:color w:val="000000"/>
          <w:sz w:val="24"/>
          <w:szCs w:val="24"/>
        </w:rPr>
      </w:pPr>
      <w:r w:rsidRPr="00CD2947">
        <w:rPr>
          <w:rFonts w:asciiTheme="minorHAnsi" w:hAnsiTheme="minorHAnsi"/>
          <w:color w:val="000000"/>
          <w:sz w:val="24"/>
          <w:szCs w:val="24"/>
        </w:rPr>
        <w:t xml:space="preserve">  </w:t>
      </w:r>
    </w:p>
    <w:p w:rsidR="00CD2947" w:rsidRPr="00CD2947" w:rsidRDefault="00CD2947" w:rsidP="00CD2947">
      <w:pPr>
        <w:ind w:left="720" w:hanging="720"/>
        <w:jc w:val="both"/>
        <w:rPr>
          <w:rFonts w:asciiTheme="minorHAnsi" w:hAnsiTheme="minorHAnsi"/>
          <w:color w:val="000000"/>
          <w:sz w:val="24"/>
          <w:szCs w:val="24"/>
        </w:rPr>
      </w:pPr>
      <w:r w:rsidRPr="00CD2947">
        <w:rPr>
          <w:rFonts w:asciiTheme="minorHAnsi" w:hAnsiTheme="minorHAnsi"/>
          <w:color w:val="000000"/>
          <w:sz w:val="24"/>
          <w:szCs w:val="24"/>
        </w:rPr>
        <w:t>(c)</w:t>
      </w:r>
      <w:r w:rsidRPr="00CD2947">
        <w:rPr>
          <w:rFonts w:asciiTheme="minorHAnsi" w:hAnsiTheme="minorHAnsi"/>
          <w:color w:val="000000"/>
          <w:sz w:val="24"/>
          <w:szCs w:val="24"/>
        </w:rPr>
        <w:tab/>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ind w:left="720"/>
        <w:jc w:val="both"/>
        <w:rPr>
          <w:rFonts w:asciiTheme="minorHAnsi" w:hAnsiTheme="minorHAnsi"/>
          <w:color w:val="000000"/>
          <w:sz w:val="24"/>
          <w:szCs w:val="24"/>
        </w:rPr>
      </w:pPr>
    </w:p>
    <w:p w:rsidR="00CD2947" w:rsidRPr="00CD2947" w:rsidRDefault="00CD2947" w:rsidP="00CD2947">
      <w:pPr>
        <w:pStyle w:val="Default"/>
        <w:jc w:val="both"/>
        <w:rPr>
          <w:rFonts w:asciiTheme="minorHAnsi" w:hAnsiTheme="minorHAnsi" w:cs="Times New Roman"/>
        </w:rPr>
      </w:pPr>
      <w:r w:rsidRPr="00CD2947">
        <w:rPr>
          <w:rFonts w:asciiTheme="minorHAnsi" w:hAnsiTheme="minorHAnsi" w:cs="Times New Roman"/>
        </w:rPr>
        <w:t>(End of Clause)</w:t>
      </w:r>
    </w:p>
    <w:p w:rsidR="00CD2947" w:rsidRPr="00C50AF7" w:rsidRDefault="00CD2947" w:rsidP="00D20341">
      <w:pPr>
        <w:pStyle w:val="Default"/>
        <w:rPr>
          <w:rFonts w:asciiTheme="minorHAnsi" w:hAnsiTheme="minorHAnsi" w:cs="Times New Roman"/>
          <w:color w:val="auto"/>
        </w:rPr>
      </w:pPr>
    </w:p>
    <w:p w:rsidR="009A1697" w:rsidRPr="00C50AF7" w:rsidRDefault="009A1697" w:rsidP="00D20341">
      <w:pPr>
        <w:rPr>
          <w:rFonts w:asciiTheme="minorHAnsi" w:hAnsiTheme="minorHAnsi"/>
          <w:b/>
          <w:sz w:val="24"/>
          <w:szCs w:val="24"/>
        </w:rPr>
      </w:pPr>
    </w:p>
    <w:p w:rsidR="009A1697" w:rsidRPr="00C50AF7" w:rsidRDefault="009A1697" w:rsidP="00A95F53">
      <w:pPr>
        <w:pStyle w:val="HTMLPreformatted"/>
        <w:rPr>
          <w:rFonts w:asciiTheme="minorHAnsi" w:hAnsiTheme="minorHAnsi" w:cs="Times New Roman"/>
          <w:b/>
          <w:sz w:val="24"/>
          <w:szCs w:val="24"/>
        </w:rPr>
      </w:pPr>
    </w:p>
    <w:p w:rsidR="00A95F53" w:rsidRPr="00C50AF7" w:rsidRDefault="00A95F53" w:rsidP="00A95F53">
      <w:pPr>
        <w:rPr>
          <w:rFonts w:asciiTheme="minorHAnsi" w:hAnsiTheme="minorHAnsi"/>
          <w:sz w:val="24"/>
          <w:szCs w:val="24"/>
        </w:rPr>
      </w:pPr>
    </w:p>
    <w:p w:rsidR="00A95F53" w:rsidRPr="00C50AF7" w:rsidRDefault="00A95F53" w:rsidP="00A95F53">
      <w:pPr>
        <w:pStyle w:val="Default"/>
        <w:rPr>
          <w:rFonts w:asciiTheme="minorHAnsi" w:hAnsiTheme="minorHAnsi" w:cs="Times New Roman"/>
          <w:color w:val="auto"/>
        </w:rPr>
      </w:pPr>
    </w:p>
    <w:sectPr w:rsidR="00A95F53" w:rsidRPr="00C50AF7" w:rsidSect="009303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AC" w:rsidRDefault="003B4DAC" w:rsidP="007122D1">
      <w:r>
        <w:separator/>
      </w:r>
    </w:p>
  </w:endnote>
  <w:endnote w:type="continuationSeparator" w:id="0">
    <w:p w:rsidR="003B4DAC" w:rsidRDefault="003B4DAC" w:rsidP="007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348322915"/>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57432B" w:rsidRPr="0057432B" w:rsidRDefault="0057432B" w:rsidP="0057432B">
            <w:pPr>
              <w:pStyle w:val="Footer"/>
              <w:ind w:firstLine="2880"/>
              <w:jc w:val="center"/>
              <w:rPr>
                <w:rFonts w:asciiTheme="minorHAnsi" w:hAnsiTheme="minorHAnsi"/>
                <w:sz w:val="22"/>
                <w:szCs w:val="22"/>
              </w:rPr>
            </w:pPr>
            <w:r>
              <w:rPr>
                <w:rFonts w:asciiTheme="minorHAnsi" w:hAnsiTheme="minorHAnsi"/>
                <w:sz w:val="22"/>
                <w:szCs w:val="22"/>
              </w:rPr>
              <w:t xml:space="preserve">        </w:t>
            </w:r>
            <w:r w:rsidRPr="0057432B">
              <w:rPr>
                <w:rFonts w:asciiTheme="minorHAnsi" w:hAnsiTheme="minorHAnsi"/>
                <w:sz w:val="22"/>
                <w:szCs w:val="22"/>
              </w:rPr>
              <w:t xml:space="preserve">Page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PAGE </w:instrText>
            </w:r>
            <w:r w:rsidRPr="0057432B">
              <w:rPr>
                <w:rFonts w:asciiTheme="minorHAnsi" w:hAnsiTheme="minorHAnsi"/>
                <w:bCs/>
                <w:sz w:val="22"/>
                <w:szCs w:val="22"/>
              </w:rPr>
              <w:fldChar w:fldCharType="separate"/>
            </w:r>
            <w:r w:rsidR="00CC7EEC">
              <w:rPr>
                <w:rFonts w:asciiTheme="minorHAnsi" w:hAnsiTheme="minorHAnsi"/>
                <w:bCs/>
                <w:noProof/>
                <w:sz w:val="22"/>
                <w:szCs w:val="22"/>
              </w:rPr>
              <w:t>15</w:t>
            </w:r>
            <w:r w:rsidRPr="0057432B">
              <w:rPr>
                <w:rFonts w:asciiTheme="minorHAnsi" w:hAnsiTheme="minorHAnsi"/>
                <w:bCs/>
                <w:sz w:val="22"/>
                <w:szCs w:val="22"/>
              </w:rPr>
              <w:fldChar w:fldCharType="end"/>
            </w:r>
            <w:r w:rsidRPr="0057432B">
              <w:rPr>
                <w:rFonts w:asciiTheme="minorHAnsi" w:hAnsiTheme="minorHAnsi"/>
                <w:sz w:val="22"/>
                <w:szCs w:val="22"/>
              </w:rPr>
              <w:t xml:space="preserve"> of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NUMPAGES  </w:instrText>
            </w:r>
            <w:r w:rsidRPr="0057432B">
              <w:rPr>
                <w:rFonts w:asciiTheme="minorHAnsi" w:hAnsiTheme="minorHAnsi"/>
                <w:bCs/>
                <w:sz w:val="22"/>
                <w:szCs w:val="22"/>
              </w:rPr>
              <w:fldChar w:fldCharType="separate"/>
            </w:r>
            <w:r w:rsidR="00CC7EEC">
              <w:rPr>
                <w:rFonts w:asciiTheme="minorHAnsi" w:hAnsiTheme="minorHAnsi"/>
                <w:bCs/>
                <w:noProof/>
                <w:sz w:val="22"/>
                <w:szCs w:val="22"/>
              </w:rPr>
              <w:t>15</w:t>
            </w:r>
            <w:r w:rsidRPr="0057432B">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r>
            <w:r w:rsidR="003808A1">
              <w:rPr>
                <w:rFonts w:asciiTheme="minorHAnsi" w:hAnsiTheme="minorHAnsi"/>
                <w:bCs/>
                <w:sz w:val="22"/>
                <w:szCs w:val="22"/>
              </w:rPr>
              <w:t>AR-225</w:t>
            </w:r>
            <w:r w:rsidR="00CC7EEC">
              <w:rPr>
                <w:rFonts w:asciiTheme="minorHAnsi" w:hAnsiTheme="minorHAnsi"/>
                <w:bCs/>
                <w:sz w:val="22"/>
                <w:szCs w:val="22"/>
              </w:rPr>
              <w:t>A</w:t>
            </w:r>
            <w:r w:rsidR="003808A1">
              <w:rPr>
                <w:rFonts w:asciiTheme="minorHAnsi" w:hAnsiTheme="minorHAnsi"/>
                <w:bCs/>
                <w:sz w:val="22"/>
                <w:szCs w:val="22"/>
              </w:rPr>
              <w:t>-11.18</w:t>
            </w:r>
          </w:p>
        </w:sdtContent>
      </w:sdt>
    </w:sdtContent>
  </w:sdt>
  <w:p w:rsidR="00FD7B4E" w:rsidRPr="0057432B" w:rsidRDefault="00FD7B4E">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AC" w:rsidRDefault="003B4DAC" w:rsidP="007122D1">
      <w:r>
        <w:separator/>
      </w:r>
    </w:p>
  </w:footnote>
  <w:footnote w:type="continuationSeparator" w:id="0">
    <w:p w:rsidR="003B4DAC" w:rsidRDefault="003B4DAC" w:rsidP="007122D1">
      <w:r>
        <w:continuationSeparator/>
      </w:r>
    </w:p>
  </w:footnote>
  <w:footnote w:id="1">
    <w:p w:rsidR="00CD2947" w:rsidRPr="003A6EA6" w:rsidRDefault="00CD2947" w:rsidP="00CD2947">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E5" w:rsidRDefault="003E21E5" w:rsidP="001637B9">
    <w:pPr>
      <w:pStyle w:val="Header"/>
      <w:rPr>
        <w:rFonts w:asciiTheme="minorHAnsi" w:hAnsiTheme="minorHAnsi"/>
        <w:b/>
      </w:rPr>
    </w:pPr>
    <w:r w:rsidRPr="003E21E5">
      <w:rPr>
        <w:rFonts w:asciiTheme="minorHAnsi" w:hAnsiTheme="minorHAnsi"/>
        <w:b/>
      </w:rPr>
      <w:t>ARPA-E Award No. DE-AR000XXXX with [Insert Recipient]</w:t>
    </w:r>
  </w:p>
  <w:p w:rsidR="00FD7B4E" w:rsidRPr="00C74F6F" w:rsidRDefault="00FD7B4E" w:rsidP="001637B9">
    <w:pPr>
      <w:pStyle w:val="Header"/>
      <w:rPr>
        <w:rFonts w:asciiTheme="minorHAnsi" w:hAnsiTheme="minorHAnsi"/>
      </w:rPr>
    </w:pPr>
    <w:r w:rsidRPr="00C74F6F">
      <w:rPr>
        <w:rFonts w:asciiTheme="minorHAnsi" w:hAnsiTheme="minorHAnsi"/>
        <w:b/>
      </w:rPr>
      <w:t>Attachment 2 (Domestic Universities and Nonprofit Organizations)</w:t>
    </w:r>
  </w:p>
  <w:p w:rsidR="00FD7B4E" w:rsidRDefault="00FD7B4E" w:rsidP="00354249">
    <w:pPr>
      <w:pStyle w:val="Header"/>
    </w:pPr>
  </w:p>
  <w:p w:rsidR="00FD7B4E" w:rsidRPr="00354249" w:rsidRDefault="00FD7B4E" w:rsidP="0035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098"/>
    <w:multiLevelType w:val="hybridMultilevel"/>
    <w:tmpl w:val="C352C9DA"/>
    <w:lvl w:ilvl="0" w:tplc="3530E99C">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A09F71D"/>
    <w:multiLevelType w:val="hybridMultilevel"/>
    <w:tmpl w:val="5CDCBE3A"/>
    <w:lvl w:ilvl="0" w:tplc="3B26AB04">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14C4EAB"/>
    <w:multiLevelType w:val="hybridMultilevel"/>
    <w:tmpl w:val="80EEC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8"/>
  </w:num>
  <w:num w:numId="5">
    <w:abstractNumId w:val="6"/>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53"/>
    <w:rsid w:val="0001220B"/>
    <w:rsid w:val="0001390A"/>
    <w:rsid w:val="000339FC"/>
    <w:rsid w:val="000369F1"/>
    <w:rsid w:val="00045C85"/>
    <w:rsid w:val="00046F44"/>
    <w:rsid w:val="00075C95"/>
    <w:rsid w:val="00080717"/>
    <w:rsid w:val="00082229"/>
    <w:rsid w:val="000826E7"/>
    <w:rsid w:val="0008395E"/>
    <w:rsid w:val="00091551"/>
    <w:rsid w:val="00095B70"/>
    <w:rsid w:val="000B3C32"/>
    <w:rsid w:val="000D599C"/>
    <w:rsid w:val="000D65EB"/>
    <w:rsid w:val="000F27A0"/>
    <w:rsid w:val="00110E5D"/>
    <w:rsid w:val="001637B9"/>
    <w:rsid w:val="001748EE"/>
    <w:rsid w:val="00194E78"/>
    <w:rsid w:val="00195BE5"/>
    <w:rsid w:val="001B1531"/>
    <w:rsid w:val="001C0B0E"/>
    <w:rsid w:val="00211859"/>
    <w:rsid w:val="0022145A"/>
    <w:rsid w:val="002305F6"/>
    <w:rsid w:val="00253A5A"/>
    <w:rsid w:val="002C62EE"/>
    <w:rsid w:val="002E7AF7"/>
    <w:rsid w:val="002F04A3"/>
    <w:rsid w:val="002F2650"/>
    <w:rsid w:val="00317C48"/>
    <w:rsid w:val="00320516"/>
    <w:rsid w:val="00333115"/>
    <w:rsid w:val="00334CD8"/>
    <w:rsid w:val="00347BB7"/>
    <w:rsid w:val="00354249"/>
    <w:rsid w:val="003808A1"/>
    <w:rsid w:val="00393611"/>
    <w:rsid w:val="003969FD"/>
    <w:rsid w:val="003B2A12"/>
    <w:rsid w:val="003B4DAC"/>
    <w:rsid w:val="003C732A"/>
    <w:rsid w:val="003D27C0"/>
    <w:rsid w:val="003D5D31"/>
    <w:rsid w:val="003E01B3"/>
    <w:rsid w:val="003E21E5"/>
    <w:rsid w:val="00456751"/>
    <w:rsid w:val="00461C86"/>
    <w:rsid w:val="00473A5E"/>
    <w:rsid w:val="00483D9A"/>
    <w:rsid w:val="00486846"/>
    <w:rsid w:val="004E5D52"/>
    <w:rsid w:val="004F4B2E"/>
    <w:rsid w:val="00534AEA"/>
    <w:rsid w:val="0057432B"/>
    <w:rsid w:val="0057636B"/>
    <w:rsid w:val="0057654A"/>
    <w:rsid w:val="00581A11"/>
    <w:rsid w:val="00595D81"/>
    <w:rsid w:val="005A0416"/>
    <w:rsid w:val="005C2C09"/>
    <w:rsid w:val="005C3D41"/>
    <w:rsid w:val="00616273"/>
    <w:rsid w:val="00617C6C"/>
    <w:rsid w:val="00625AEC"/>
    <w:rsid w:val="00636BF5"/>
    <w:rsid w:val="006410BD"/>
    <w:rsid w:val="00665B07"/>
    <w:rsid w:val="00675D60"/>
    <w:rsid w:val="006800D5"/>
    <w:rsid w:val="00685408"/>
    <w:rsid w:val="00685FD5"/>
    <w:rsid w:val="006B76C4"/>
    <w:rsid w:val="007001AB"/>
    <w:rsid w:val="00704C6B"/>
    <w:rsid w:val="007122D1"/>
    <w:rsid w:val="00721702"/>
    <w:rsid w:val="00726FB0"/>
    <w:rsid w:val="00730028"/>
    <w:rsid w:val="007375B7"/>
    <w:rsid w:val="0076172D"/>
    <w:rsid w:val="007A69BA"/>
    <w:rsid w:val="007A7B3E"/>
    <w:rsid w:val="007D26F3"/>
    <w:rsid w:val="007E7BE6"/>
    <w:rsid w:val="007F161E"/>
    <w:rsid w:val="00802B3F"/>
    <w:rsid w:val="00810CD4"/>
    <w:rsid w:val="00872EEB"/>
    <w:rsid w:val="00890427"/>
    <w:rsid w:val="008B6CB0"/>
    <w:rsid w:val="008E4574"/>
    <w:rsid w:val="008F77F4"/>
    <w:rsid w:val="009267E5"/>
    <w:rsid w:val="009303B7"/>
    <w:rsid w:val="00931E32"/>
    <w:rsid w:val="00954BAC"/>
    <w:rsid w:val="00985A7D"/>
    <w:rsid w:val="009A09EC"/>
    <w:rsid w:val="009A1697"/>
    <w:rsid w:val="009A204F"/>
    <w:rsid w:val="009C3346"/>
    <w:rsid w:val="009C53D9"/>
    <w:rsid w:val="00A113A4"/>
    <w:rsid w:val="00A371A6"/>
    <w:rsid w:val="00A4440D"/>
    <w:rsid w:val="00A56D18"/>
    <w:rsid w:val="00A95F53"/>
    <w:rsid w:val="00AA6B7A"/>
    <w:rsid w:val="00AF056B"/>
    <w:rsid w:val="00B147D3"/>
    <w:rsid w:val="00B44C8F"/>
    <w:rsid w:val="00B5786B"/>
    <w:rsid w:val="00B71B1F"/>
    <w:rsid w:val="00B77635"/>
    <w:rsid w:val="00BD1F52"/>
    <w:rsid w:val="00BD310F"/>
    <w:rsid w:val="00BD7EC8"/>
    <w:rsid w:val="00BE2740"/>
    <w:rsid w:val="00BF3620"/>
    <w:rsid w:val="00C27C57"/>
    <w:rsid w:val="00C4228C"/>
    <w:rsid w:val="00C50AF7"/>
    <w:rsid w:val="00C51C87"/>
    <w:rsid w:val="00C609A6"/>
    <w:rsid w:val="00C74F6F"/>
    <w:rsid w:val="00C76ECF"/>
    <w:rsid w:val="00C94CE9"/>
    <w:rsid w:val="00CB4847"/>
    <w:rsid w:val="00CC7EEC"/>
    <w:rsid w:val="00CD2947"/>
    <w:rsid w:val="00CE4732"/>
    <w:rsid w:val="00CF5F28"/>
    <w:rsid w:val="00D1460E"/>
    <w:rsid w:val="00D17C5D"/>
    <w:rsid w:val="00D20341"/>
    <w:rsid w:val="00D86DF1"/>
    <w:rsid w:val="00DB7999"/>
    <w:rsid w:val="00DE15F2"/>
    <w:rsid w:val="00E2386F"/>
    <w:rsid w:val="00E475E2"/>
    <w:rsid w:val="00E84EE9"/>
    <w:rsid w:val="00E93FFC"/>
    <w:rsid w:val="00EA0027"/>
    <w:rsid w:val="00EB302F"/>
    <w:rsid w:val="00EE6848"/>
    <w:rsid w:val="00F069D4"/>
    <w:rsid w:val="00F51EA3"/>
    <w:rsid w:val="00F5304C"/>
    <w:rsid w:val="00F77077"/>
    <w:rsid w:val="00F93EB9"/>
    <w:rsid w:val="00FA1792"/>
    <w:rsid w:val="00FD3D0D"/>
    <w:rsid w:val="00FD7B4E"/>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2EB44-1B19-403E-A8A1-2F4679F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5F53"/>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95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A95F53"/>
    <w:rPr>
      <w:rFonts w:ascii="Courier New" w:eastAsia="Times New Roman" w:hAnsi="Courier New" w:cs="Courier New"/>
      <w:sz w:val="20"/>
      <w:szCs w:val="20"/>
    </w:rPr>
  </w:style>
  <w:style w:type="paragraph" w:customStyle="1" w:styleId="Default">
    <w:name w:val="Default"/>
    <w:rsid w:val="00A95F5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A95F53"/>
    <w:rPr>
      <w:rFonts w:ascii="Times New Roman" w:eastAsia="Times New Roman" w:hAnsi="Times New Roman" w:cs="Times New Roman"/>
      <w:sz w:val="20"/>
      <w:szCs w:val="20"/>
    </w:rPr>
  </w:style>
  <w:style w:type="character" w:styleId="Hyperlink">
    <w:name w:val="Hyperlink"/>
    <w:basedOn w:val="DefaultParagraphFont"/>
    <w:uiPriority w:val="99"/>
    <w:rsid w:val="00A95F53"/>
    <w:rPr>
      <w:rFonts w:cs="Times New Roman"/>
      <w:color w:val="0000FF"/>
      <w:u w:val="single"/>
    </w:rPr>
  </w:style>
  <w:style w:type="paragraph" w:customStyle="1" w:styleId="CM5">
    <w:name w:val="CM5"/>
    <w:basedOn w:val="Default"/>
    <w:next w:val="Default"/>
    <w:uiPriority w:val="99"/>
    <w:rsid w:val="009A1697"/>
    <w:pPr>
      <w:spacing w:line="240" w:lineRule="atLeast"/>
    </w:pPr>
    <w:rPr>
      <w:rFonts w:cs="Times New Roman"/>
      <w:color w:val="auto"/>
    </w:rPr>
  </w:style>
  <w:style w:type="paragraph" w:customStyle="1" w:styleId="CM6">
    <w:name w:val="CM6"/>
    <w:basedOn w:val="Default"/>
    <w:next w:val="Default"/>
    <w:uiPriority w:val="99"/>
    <w:rsid w:val="009A1697"/>
    <w:pPr>
      <w:spacing w:line="240" w:lineRule="atLeast"/>
    </w:pPr>
    <w:rPr>
      <w:rFonts w:cs="Times New Roman"/>
      <w:color w:val="auto"/>
    </w:rPr>
  </w:style>
  <w:style w:type="paragraph" w:customStyle="1" w:styleId="CM16">
    <w:name w:val="CM16"/>
    <w:basedOn w:val="Default"/>
    <w:next w:val="Default"/>
    <w:uiPriority w:val="99"/>
    <w:rsid w:val="009A1697"/>
    <w:pPr>
      <w:spacing w:after="245"/>
    </w:pPr>
    <w:rPr>
      <w:rFonts w:cs="Times New Roman"/>
      <w:color w:val="auto"/>
    </w:rPr>
  </w:style>
  <w:style w:type="paragraph" w:customStyle="1" w:styleId="CM14">
    <w:name w:val="CM14"/>
    <w:basedOn w:val="Default"/>
    <w:next w:val="Default"/>
    <w:uiPriority w:val="99"/>
    <w:rsid w:val="009A1697"/>
    <w:pPr>
      <w:spacing w:line="240" w:lineRule="atLeast"/>
    </w:pPr>
    <w:rPr>
      <w:rFonts w:cs="Times New Roman"/>
      <w:color w:val="auto"/>
    </w:rPr>
  </w:style>
  <w:style w:type="paragraph" w:customStyle="1" w:styleId="CM9">
    <w:name w:val="CM9"/>
    <w:basedOn w:val="Default"/>
    <w:next w:val="Default"/>
    <w:uiPriority w:val="99"/>
    <w:rsid w:val="009A1697"/>
    <w:pPr>
      <w:spacing w:line="240" w:lineRule="atLeast"/>
    </w:pPr>
    <w:rPr>
      <w:rFonts w:cs="Times New Roman"/>
      <w:color w:val="auto"/>
    </w:rPr>
  </w:style>
  <w:style w:type="character" w:styleId="CommentReference">
    <w:name w:val="annotation reference"/>
    <w:basedOn w:val="DefaultParagraphFont"/>
    <w:uiPriority w:val="99"/>
    <w:semiHidden/>
    <w:unhideWhenUsed/>
    <w:rsid w:val="009A1697"/>
    <w:rPr>
      <w:sz w:val="16"/>
      <w:szCs w:val="16"/>
    </w:rPr>
  </w:style>
  <w:style w:type="paragraph" w:styleId="CommentText">
    <w:name w:val="annotation text"/>
    <w:basedOn w:val="Normal"/>
    <w:link w:val="CommentTextChar"/>
    <w:uiPriority w:val="99"/>
    <w:semiHidden/>
    <w:unhideWhenUsed/>
    <w:rsid w:val="009A1697"/>
  </w:style>
  <w:style w:type="character" w:customStyle="1" w:styleId="CommentTextChar">
    <w:name w:val="Comment Text Char"/>
    <w:basedOn w:val="DefaultParagraphFont"/>
    <w:link w:val="CommentText"/>
    <w:uiPriority w:val="99"/>
    <w:semiHidden/>
    <w:rsid w:val="009A1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697"/>
    <w:rPr>
      <w:b/>
      <w:bCs/>
    </w:rPr>
  </w:style>
  <w:style w:type="character" w:customStyle="1" w:styleId="CommentSubjectChar">
    <w:name w:val="Comment Subject Char"/>
    <w:basedOn w:val="CommentTextChar"/>
    <w:link w:val="CommentSubject"/>
    <w:uiPriority w:val="99"/>
    <w:semiHidden/>
    <w:rsid w:val="009A16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1697"/>
    <w:rPr>
      <w:rFonts w:ascii="Tahoma" w:hAnsi="Tahoma" w:cs="Tahoma"/>
      <w:sz w:val="16"/>
      <w:szCs w:val="16"/>
    </w:rPr>
  </w:style>
  <w:style w:type="character" w:customStyle="1" w:styleId="BalloonTextChar">
    <w:name w:val="Balloon Text Char"/>
    <w:basedOn w:val="DefaultParagraphFont"/>
    <w:link w:val="BalloonText"/>
    <w:uiPriority w:val="99"/>
    <w:semiHidden/>
    <w:rsid w:val="009A1697"/>
    <w:rPr>
      <w:rFonts w:ascii="Tahoma" w:eastAsia="Times New Roman" w:hAnsi="Tahoma" w:cs="Tahoma"/>
      <w:sz w:val="16"/>
      <w:szCs w:val="16"/>
    </w:rPr>
  </w:style>
  <w:style w:type="paragraph" w:customStyle="1" w:styleId="CM1">
    <w:name w:val="CM1"/>
    <w:basedOn w:val="Default"/>
    <w:next w:val="Default"/>
    <w:rsid w:val="00D20341"/>
    <w:pPr>
      <w:spacing w:line="288" w:lineRule="atLeast"/>
    </w:pPr>
    <w:rPr>
      <w:rFonts w:cs="Times New Roman"/>
      <w:color w:val="auto"/>
    </w:rPr>
  </w:style>
  <w:style w:type="paragraph" w:styleId="Header">
    <w:name w:val="header"/>
    <w:basedOn w:val="Normal"/>
    <w:link w:val="HeaderChar"/>
    <w:uiPriority w:val="99"/>
    <w:unhideWhenUsed/>
    <w:rsid w:val="007122D1"/>
    <w:pPr>
      <w:tabs>
        <w:tab w:val="center" w:pos="4680"/>
        <w:tab w:val="right" w:pos="9360"/>
      </w:tabs>
    </w:pPr>
  </w:style>
  <w:style w:type="character" w:customStyle="1" w:styleId="HeaderChar">
    <w:name w:val="Header Char"/>
    <w:basedOn w:val="DefaultParagraphFont"/>
    <w:link w:val="Header"/>
    <w:uiPriority w:val="99"/>
    <w:rsid w:val="007122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2D1"/>
    <w:pPr>
      <w:tabs>
        <w:tab w:val="center" w:pos="4680"/>
        <w:tab w:val="right" w:pos="9360"/>
      </w:tabs>
    </w:pPr>
  </w:style>
  <w:style w:type="character" w:customStyle="1" w:styleId="FooterChar">
    <w:name w:val="Footer Char"/>
    <w:basedOn w:val="DefaultParagraphFont"/>
    <w:link w:val="Footer"/>
    <w:uiPriority w:val="99"/>
    <w:rsid w:val="007122D1"/>
    <w:rPr>
      <w:rFonts w:ascii="Times New Roman" w:eastAsia="Times New Roman" w:hAnsi="Times New Roman" w:cs="Times New Roman"/>
      <w:sz w:val="20"/>
      <w:szCs w:val="20"/>
    </w:rPr>
  </w:style>
  <w:style w:type="paragraph" w:customStyle="1" w:styleId="Style0">
    <w:name w:val="Style0"/>
    <w:rsid w:val="00685FD5"/>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685FD5"/>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D294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CD2947"/>
    <w:rPr>
      <w:rFonts w:eastAsiaTheme="minorEastAsia"/>
      <w:sz w:val="20"/>
      <w:szCs w:val="20"/>
    </w:rPr>
  </w:style>
  <w:style w:type="character" w:styleId="FootnoteReference">
    <w:name w:val="footnote reference"/>
    <w:basedOn w:val="DefaultParagraphFont"/>
    <w:uiPriority w:val="99"/>
    <w:semiHidden/>
    <w:unhideWhenUsed/>
    <w:rsid w:val="00CD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BA39-C07C-4D02-96EA-1553B904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4971</Words>
  <Characters>28337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lucasjt</dc:creator>
  <cp:lastModifiedBy>Daniel Adams</cp:lastModifiedBy>
  <cp:revision>5</cp:revision>
  <cp:lastPrinted>2010-05-20T19:36:00Z</cp:lastPrinted>
  <dcterms:created xsi:type="dcterms:W3CDTF">2018-10-30T16:42:00Z</dcterms:created>
  <dcterms:modified xsi:type="dcterms:W3CDTF">2018-11-02T13:26:00Z</dcterms:modified>
</cp:coreProperties>
</file>