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rsidR="008D19E7" w:rsidRPr="00154021" w:rsidRDefault="008D19E7" w:rsidP="008D19E7">
      <w:pPr>
        <w:kinsoku w:val="0"/>
        <w:overflowPunct w:val="0"/>
        <w:spacing w:before="2"/>
        <w:rPr>
          <w:rFonts w:cs="Arial"/>
          <w:spacing w:val="-1"/>
          <w:sz w:val="24"/>
          <w:szCs w:val="24"/>
        </w:rPr>
      </w:pPr>
    </w:p>
    <w:p w:rsidR="008D19E7" w:rsidRPr="00507F3D" w:rsidRDefault="008D19E7" w:rsidP="008D19E7">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CF3BA0">
        <w:rPr>
          <w:rFonts w:cs="Arial"/>
          <w:spacing w:val="-1"/>
          <w:sz w:val="24"/>
          <w:szCs w:val="24"/>
        </w:rPr>
        <w:t xml:space="preserve"> Plant Variety Protection Act (</w:t>
      </w:r>
      <w:r w:rsidRPr="00154021">
        <w:rPr>
          <w:rFonts w:cs="Arial"/>
          <w:spacing w:val="-1"/>
          <w:sz w:val="24"/>
          <w:szCs w:val="24"/>
        </w:rPr>
        <w:t>7 U.S.C. 2321et seq.).</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CF3BA0">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CF3BA0">
        <w:rPr>
          <w:rFonts w:cs="Arial"/>
          <w:spacing w:val="-1"/>
          <w:sz w:val="24"/>
          <w:szCs w:val="24"/>
        </w:rPr>
        <w:t>Internal Revenue Code of 1954 (</w:t>
      </w:r>
      <w:r w:rsidRPr="00154021">
        <w:rPr>
          <w:rFonts w:cs="Arial"/>
          <w:spacing w:val="-1"/>
          <w:sz w:val="24"/>
          <w:szCs w:val="24"/>
        </w:rPr>
        <w:t>26 U.S.C. 501(c) and exempt from taxation under section 501(a) of the Internal Revenue Code (25 U.S.C. 501(a)) or any nonprofit scientific or educational organization qualified under a state nonprofit organization statute.</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8D19E7" w:rsidRPr="00154021" w:rsidRDefault="008D19E7" w:rsidP="008D19E7">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CF3BA0">
        <w:rPr>
          <w:rFonts w:cs="Arial"/>
          <w:spacing w:val="-1"/>
          <w:sz w:val="24"/>
          <w:szCs w:val="24"/>
        </w:rPr>
        <w:t xml:space="preserve"> </w:t>
      </w:r>
      <w:r w:rsidRPr="00154021">
        <w:rPr>
          <w:rFonts w:cs="Arial"/>
          <w:spacing w:val="-1"/>
          <w:sz w:val="24"/>
          <w:szCs w:val="24"/>
        </w:rPr>
        <w:t>35 U.S.C. 202(a).</w:t>
      </w:r>
    </w:p>
    <w:p w:rsidR="008D19E7" w:rsidRPr="00154021" w:rsidRDefault="008D19E7" w:rsidP="008D19E7">
      <w:pPr>
        <w:pStyle w:val="ListParagraph"/>
        <w:widowControl w:val="0"/>
        <w:numPr>
          <w:ilvl w:val="0"/>
          <w:numId w:val="27"/>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8D19E7" w:rsidRPr="00154021" w:rsidRDefault="008D19E7" w:rsidP="008D19E7">
      <w:pPr>
        <w:pStyle w:val="ListParagraph"/>
        <w:tabs>
          <w:tab w:val="left" w:pos="1170"/>
        </w:tabs>
        <w:kinsoku w:val="0"/>
        <w:overflowPunct w:val="0"/>
        <w:spacing w:before="2"/>
        <w:ind w:left="1080"/>
        <w:rPr>
          <w:rFonts w:asciiTheme="minorHAnsi" w:hAnsiTheme="minorHAnsi"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rsidR="008D19E7" w:rsidRPr="00154021" w:rsidRDefault="008D19E7" w:rsidP="008D19E7">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Contractor Action to Protect the Government's Interest</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30"/>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w:t>
      </w:r>
      <w:r w:rsidRPr="00154021">
        <w:rPr>
          <w:rFonts w:asciiTheme="minorHAnsi" w:hAnsiTheme="minorHAnsi" w:cs="Arial"/>
          <w:spacing w:val="-1"/>
          <w:sz w:val="24"/>
          <w:szCs w:val="24"/>
        </w:rPr>
        <w:lastRenderedPageBreak/>
        <w:t>certain rights in the invention.”</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8D19E7" w:rsidRPr="00154021" w:rsidRDefault="008D19E7" w:rsidP="008D19E7">
      <w:pPr>
        <w:kinsoku w:val="0"/>
        <w:overflowPunct w:val="0"/>
        <w:spacing w:before="2"/>
        <w:ind w:left="1080"/>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8D19E7" w:rsidRPr="00154021" w:rsidRDefault="008D19E7" w:rsidP="008D19E7">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8D19E7" w:rsidRPr="00154021" w:rsidRDefault="008D19E7" w:rsidP="008D19E7">
      <w:pPr>
        <w:kinsoku w:val="0"/>
        <w:overflowPunct w:val="0"/>
        <w:spacing w:before="2"/>
        <w:ind w:left="720"/>
        <w:rPr>
          <w:rFonts w:cs="Arial"/>
          <w:spacing w:val="-1"/>
          <w:sz w:val="24"/>
          <w:szCs w:val="24"/>
        </w:rPr>
      </w:pPr>
    </w:p>
    <w:p w:rsidR="008D19E7" w:rsidRPr="00154021" w:rsidRDefault="008D19E7" w:rsidP="008D19E7">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rsidR="008D19E7" w:rsidRPr="00154021" w:rsidRDefault="008D19E7" w:rsidP="008D19E7">
      <w:pPr>
        <w:kinsoku w:val="0"/>
        <w:overflowPunct w:val="0"/>
        <w:spacing w:before="2"/>
        <w:rPr>
          <w:rFonts w:cs="Arial"/>
          <w:spacing w:val="-1"/>
          <w:sz w:val="24"/>
          <w:szCs w:val="24"/>
        </w:rPr>
      </w:pPr>
    </w:p>
    <w:p w:rsidR="008D19E7" w:rsidRPr="00154021" w:rsidRDefault="008D19E7" w:rsidP="008D19E7">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rsidR="008D19E7" w:rsidRPr="00154021" w:rsidRDefault="008D19E7" w:rsidP="008D19E7">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8D19E7" w:rsidRPr="00154021" w:rsidRDefault="008D19E7" w:rsidP="008D19E7">
      <w:pPr>
        <w:kinsoku w:val="0"/>
        <w:overflowPunct w:val="0"/>
        <w:spacing w:before="2"/>
        <w:ind w:left="810"/>
        <w:rPr>
          <w:rFonts w:cs="Arial"/>
          <w:spacing w:val="-1"/>
          <w:sz w:val="24"/>
          <w:szCs w:val="24"/>
        </w:rPr>
      </w:pPr>
    </w:p>
    <w:p w:rsidR="008D19E7" w:rsidRPr="00154021" w:rsidRDefault="008D19E7" w:rsidP="008D19E7">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CF3BA0">
        <w:rPr>
          <w:rFonts w:asciiTheme="minorHAnsi" w:hAnsiTheme="minorHAnsi" w:cs="Arial"/>
          <w:spacing w:val="-1"/>
          <w:sz w:val="24"/>
          <w:szCs w:val="24"/>
        </w:rPr>
        <w:t>ance with 35 U.S.C. 202(e) and</w:t>
      </w:r>
      <w:r w:rsidRPr="00154021">
        <w:rPr>
          <w:rFonts w:asciiTheme="minorHAnsi" w:hAnsiTheme="minorHAnsi" w:cs="Arial"/>
          <w:spacing w:val="-1"/>
          <w:sz w:val="24"/>
          <w:szCs w:val="24"/>
        </w:rPr>
        <w:t xml:space="preserve"> 37 CFR 401.10;</w:t>
      </w:r>
    </w:p>
    <w:p w:rsidR="008D19E7" w:rsidRPr="00154021" w:rsidRDefault="008D19E7" w:rsidP="008D19E7">
      <w:pPr>
        <w:kinsoku w:val="0"/>
        <w:overflowPunct w:val="0"/>
        <w:spacing w:before="2"/>
        <w:ind w:left="810"/>
        <w:rPr>
          <w:rFonts w:cs="Arial"/>
          <w:spacing w:val="-1"/>
          <w:sz w:val="24"/>
          <w:szCs w:val="24"/>
        </w:rPr>
      </w:pPr>
    </w:p>
    <w:p w:rsidR="008D19E7" w:rsidRPr="00154021" w:rsidRDefault="008D19E7" w:rsidP="008D19E7">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8D19E7" w:rsidRPr="00154021" w:rsidRDefault="008D19E7" w:rsidP="008D19E7">
      <w:pPr>
        <w:kinsoku w:val="0"/>
        <w:overflowPunct w:val="0"/>
        <w:spacing w:before="2"/>
        <w:ind w:left="810"/>
        <w:rPr>
          <w:rFonts w:cs="Arial"/>
          <w:spacing w:val="-1"/>
          <w:sz w:val="24"/>
          <w:szCs w:val="24"/>
        </w:rPr>
      </w:pPr>
      <w:r w:rsidRPr="00154021">
        <w:rPr>
          <w:rFonts w:cs="Arial"/>
          <w:spacing w:val="-1"/>
          <w:sz w:val="24"/>
          <w:szCs w:val="24"/>
        </w:rPr>
        <w:t xml:space="preserve"> </w:t>
      </w:r>
    </w:p>
    <w:p w:rsidR="008D19E7" w:rsidRPr="00154021" w:rsidRDefault="008D19E7" w:rsidP="008D19E7">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w:t>
      </w:r>
      <w:r w:rsidRPr="00154021">
        <w:rPr>
          <w:rFonts w:asciiTheme="minorHAnsi" w:hAnsiTheme="minorHAnsi" w:cs="Arial"/>
          <w:spacing w:val="-1"/>
          <w:sz w:val="24"/>
          <w:szCs w:val="24"/>
        </w:rPr>
        <w:lastRenderedPageBreak/>
        <w:t>agency or the contractor may request that the Secretary review the contractor's licensing program and decisions regarding small business applicants.</w:t>
      </w:r>
    </w:p>
    <w:p w:rsidR="008D19E7" w:rsidRPr="00154021" w:rsidRDefault="008D19E7" w:rsidP="008D19E7">
      <w:pPr>
        <w:kinsoku w:val="0"/>
        <w:overflowPunct w:val="0"/>
        <w:spacing w:before="2"/>
        <w:rPr>
          <w:rFonts w:cs="Arial"/>
          <w:sz w:val="24"/>
          <w:szCs w:val="24"/>
        </w:rPr>
      </w:pPr>
    </w:p>
    <w:p w:rsidR="008D19E7" w:rsidRPr="00154021" w:rsidRDefault="008D19E7" w:rsidP="008D19E7">
      <w:pPr>
        <w:widowControl w:val="0"/>
        <w:numPr>
          <w:ilvl w:val="0"/>
          <w:numId w:val="24"/>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154021">
        <w:rPr>
          <w:rFonts w:cs="Arial"/>
          <w:sz w:val="24"/>
          <w:szCs w:val="24"/>
        </w:rPr>
        <w:t xml:space="preserve">Communication </w:t>
      </w:r>
    </w:p>
    <w:p w:rsidR="008D19E7" w:rsidRPr="00154021" w:rsidRDefault="008D19E7" w:rsidP="008D19E7">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rsidR="008D19E7" w:rsidRDefault="008D19E7" w:rsidP="008D19E7">
      <w:pPr>
        <w:widowControl w:val="0"/>
        <w:numPr>
          <w:ilvl w:val="0"/>
          <w:numId w:val="24"/>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rsidR="008D19E7" w:rsidRPr="00507F3D" w:rsidRDefault="008D19E7" w:rsidP="008D19E7">
      <w:pPr>
        <w:widowControl w:val="0"/>
        <w:autoSpaceDE w:val="0"/>
        <w:autoSpaceDN w:val="0"/>
        <w:adjustRightInd w:val="0"/>
        <w:spacing w:after="0" w:line="240" w:lineRule="auto"/>
        <w:ind w:left="720"/>
        <w:rPr>
          <w:rFonts w:cs="Arial"/>
          <w:sz w:val="24"/>
          <w:szCs w:val="24"/>
        </w:rPr>
      </w:pPr>
    </w:p>
    <w:p w:rsidR="008D19E7" w:rsidRPr="00154021" w:rsidRDefault="008D19E7" w:rsidP="008D19E7">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lastRenderedPageBreak/>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lastRenderedPageBreak/>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824E2" w:rsidRDefault="003824E2" w:rsidP="003824E2">
      <w:pPr>
        <w:pStyle w:val="CM16"/>
        <w:spacing w:line="240" w:lineRule="atLeast"/>
        <w:rPr>
          <w:rFonts w:asciiTheme="minorHAnsi" w:hAnsiTheme="minorHAnsi"/>
        </w:rPr>
      </w:pPr>
      <w:r w:rsidRPr="003824E2">
        <w:rPr>
          <w:rFonts w:asciiTheme="minorHAnsi" w:hAnsiTheme="minorHAnsi"/>
        </w:rPr>
        <w:t>(End of notice)</w:t>
      </w:r>
    </w:p>
    <w:p w:rsidR="00AF275B" w:rsidRPr="003F512F" w:rsidRDefault="003F512F" w:rsidP="00B15FA5">
      <w:pPr>
        <w:spacing w:after="0"/>
        <w:ind w:firstLine="720"/>
        <w:rPr>
          <w:sz w:val="24"/>
          <w:szCs w:val="24"/>
        </w:rPr>
      </w:pPr>
      <w:r>
        <w:rPr>
          <w:sz w:val="24"/>
          <w:szCs w:val="24"/>
        </w:rPr>
        <w:t xml:space="preserve">(2)  </w:t>
      </w:r>
      <w:r w:rsidRPr="003F512F">
        <w:rPr>
          <w:sz w:val="24"/>
          <w:szCs w:val="24"/>
        </w:rPr>
        <w:t xml:space="preserve">However, the Recipient agrees that the following types of data are not considered to be </w:t>
      </w:r>
      <w:r>
        <w:rPr>
          <w:sz w:val="24"/>
          <w:szCs w:val="24"/>
        </w:rPr>
        <w:t>SBIR data</w:t>
      </w:r>
      <w:r w:rsidRPr="003F512F">
        <w:rPr>
          <w:sz w:val="24"/>
          <w:szCs w:val="24"/>
        </w:rPr>
        <w:t xml:space="preserve"> and shall be provided to the Government when required by this award without any claim that the data are </w:t>
      </w:r>
      <w:r>
        <w:rPr>
          <w:sz w:val="24"/>
          <w:szCs w:val="24"/>
        </w:rPr>
        <w:t>SBIR data</w:t>
      </w:r>
      <w:r w:rsidRPr="003F512F">
        <w:rPr>
          <w:sz w:val="24"/>
          <w:szCs w:val="24"/>
        </w:rPr>
        <w:t>. The parties agree that notwithstanding the following lists of types of data, nothing precludes the Government from seeking delivery of additional data in accordance with this award, or from making publicly available additional non-</w:t>
      </w:r>
      <w:r>
        <w:rPr>
          <w:sz w:val="24"/>
          <w:szCs w:val="24"/>
        </w:rPr>
        <w:t>SBIR</w:t>
      </w:r>
      <w:r w:rsidRPr="003F512F">
        <w:rPr>
          <w:sz w:val="24"/>
          <w:szCs w:val="24"/>
        </w:rPr>
        <w:t xml:space="preserve"> data, nor does the following list constitute any admission by the Government that technical data not on the list is </w:t>
      </w:r>
      <w:r w:rsidR="00B73B81">
        <w:rPr>
          <w:sz w:val="24"/>
          <w:szCs w:val="24"/>
        </w:rPr>
        <w:t>SBIR d</w:t>
      </w:r>
      <w:r w:rsidRPr="003F512F">
        <w:rPr>
          <w:sz w:val="24"/>
          <w:szCs w:val="24"/>
        </w:rPr>
        <w:t xml:space="preserve">ata.  </w:t>
      </w:r>
    </w:p>
    <w:p w:rsidR="00AF275B" w:rsidRDefault="00AF275B" w:rsidP="00AF275B">
      <w:pPr>
        <w:spacing w:after="0"/>
        <w:ind w:firstLine="720"/>
      </w:pPr>
      <w:r w:rsidRPr="00710395" w:rsidDel="00AF275B">
        <w:lastRenderedPageBreak/>
        <w:t xml:space="preserve"> </w:t>
      </w:r>
    </w:p>
    <w:p w:rsidR="00AF275B" w:rsidRPr="00AF275B" w:rsidRDefault="00AF275B" w:rsidP="00AF275B">
      <w:pPr>
        <w:pStyle w:val="Default"/>
      </w:pPr>
      <w:r>
        <w:t>[insert]</w:t>
      </w:r>
    </w:p>
    <w:p w:rsidR="00AF275B" w:rsidRDefault="00AF275B" w:rsidP="00AF275B">
      <w:pPr>
        <w:pStyle w:val="Default"/>
      </w:pPr>
    </w:p>
    <w:p w:rsidR="00AF275B" w:rsidRPr="00AF275B" w:rsidRDefault="00AF275B" w:rsidP="00AF275B">
      <w:pPr>
        <w:pStyle w:val="Default"/>
      </w:pP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B15FA5">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lastRenderedPageBreak/>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w:t>
      </w:r>
      <w:r w:rsidRPr="00AB34E1">
        <w:rPr>
          <w:rFonts w:asciiTheme="minorHAnsi" w:hAnsiTheme="minorHAnsi" w:cs="Times New Roman"/>
          <w:color w:val="auto"/>
        </w:rPr>
        <w:lastRenderedPageBreak/>
        <w:t xml:space="preserve">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Pr="00710395" w:rsidRDefault="00F86A2F"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color w:val="000000"/>
        </w:rPr>
      </w:pPr>
      <w:r w:rsidRPr="00710395">
        <w:rPr>
          <w:rFonts w:asciiTheme="minorHAnsi" w:hAnsiTheme="minorHAnsi"/>
          <w:color w:val="000000"/>
        </w:rPr>
        <w:t>(End of clause)</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672C3D">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he Recipient shall incorporate all of the intellectual property provisions found in Attachment 2 (Large Businesses)</w:t>
      </w:r>
      <w:r w:rsidR="00672C3D">
        <w:rPr>
          <w:rFonts w:asciiTheme="minorHAnsi" w:hAnsiTheme="minorHAnsi" w:cs="Times New Roman"/>
          <w:color w:val="auto"/>
        </w:rPr>
        <w:t>—Waiver</w:t>
      </w:r>
      <w:r w:rsidR="00672C3D" w:rsidRPr="00206AD3">
        <w:rPr>
          <w:rFonts w:asciiTheme="minorHAnsi" w:hAnsiTheme="minorHAnsi" w:cs="Times New Roman"/>
          <w:color w:val="auto"/>
        </w:rPr>
        <w:t xml:space="preserve"> </w:t>
      </w:r>
      <w:r w:rsidR="00672C3D">
        <w:rPr>
          <w:rFonts w:asciiTheme="minorHAnsi" w:hAnsiTheme="minorHAnsi" w:cs="Times New Roman"/>
          <w:color w:val="auto"/>
        </w:rPr>
        <w:t xml:space="preserve">(Patent Rights)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672C3D">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672C3D" w:rsidRDefault="00672C3D" w:rsidP="00672C3D"/>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 xml:space="preserve">Subaward Unlimited Rights Data List:  </w:t>
      </w:r>
      <w:r w:rsidRPr="00710395">
        <w:rPr>
          <w:rFonts w:asciiTheme="minorHAnsi" w:hAnsiTheme="minorHAnsi"/>
        </w:rPr>
        <w:t>For any subaward/subcontract for experimental, developmental or research work, the Recipient will insert the unlimited rights data list found in paragraph (</w:t>
      </w:r>
      <w:r w:rsidR="006A54CF">
        <w:rPr>
          <w:rFonts w:asciiTheme="minorHAnsi" w:hAnsiTheme="minorHAnsi"/>
        </w:rPr>
        <w:t>d</w:t>
      </w:r>
      <w:r w:rsidRPr="00710395">
        <w:rPr>
          <w:rFonts w:asciiTheme="minorHAnsi" w:hAnsiTheme="minorHAnsi"/>
        </w:rPr>
        <w:t>)(</w:t>
      </w:r>
      <w:r w:rsidR="006A54CF">
        <w:rPr>
          <w:rFonts w:asciiTheme="minorHAnsi" w:hAnsiTheme="minorHAnsi"/>
        </w:rPr>
        <w:t>2</w:t>
      </w:r>
      <w:r w:rsidRPr="00710395">
        <w:rPr>
          <w:rFonts w:asciiTheme="minorHAnsi" w:hAnsiTheme="minorHAnsi"/>
        </w:rPr>
        <w:t>) under the Rights in Data clause into the corresponding Rights in Data provision in the subaward/subcontract.</w:t>
      </w: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(End of clause)</w:t>
      </w:r>
    </w:p>
    <w:p w:rsidR="00F86A2F" w:rsidRPr="00710395" w:rsidRDefault="00F86A2F" w:rsidP="00F86A2F">
      <w:pPr>
        <w:pStyle w:val="Default"/>
        <w:rPr>
          <w:rFonts w:asciiTheme="minorHAnsi" w:hAnsiTheme="minorHAnsi"/>
        </w:rPr>
      </w:pP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D1" w:rsidRDefault="006A7CD1" w:rsidP="006B7B6B">
      <w:pPr>
        <w:spacing w:after="0" w:line="240" w:lineRule="auto"/>
      </w:pPr>
      <w:r>
        <w:separator/>
      </w:r>
    </w:p>
  </w:endnote>
  <w:endnote w:type="continuationSeparator" w:id="0">
    <w:p w:rsidR="006A7CD1" w:rsidRDefault="006A7CD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CA4F7E">
              <w:rPr>
                <w:bCs/>
                <w:noProof/>
              </w:rPr>
              <w:t>1</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CA4F7E">
              <w:rPr>
                <w:bCs/>
                <w:noProof/>
              </w:rPr>
              <w:t>17</w:t>
            </w:r>
            <w:r w:rsidRPr="00065A28">
              <w:rPr>
                <w:bCs/>
              </w:rPr>
              <w:fldChar w:fldCharType="end"/>
            </w:r>
            <w:r w:rsidRPr="00065A28">
              <w:rPr>
                <w:bCs/>
              </w:rPr>
              <w:tab/>
            </w:r>
            <w:r w:rsidRPr="00065A28">
              <w:rPr>
                <w:bCs/>
              </w:rPr>
              <w:tab/>
              <w:t>AR-226-</w:t>
            </w:r>
            <w:r w:rsidR="00BD5C76">
              <w:rPr>
                <w:bCs/>
              </w:rPr>
              <w:t>1</w:t>
            </w:r>
            <w:r w:rsidR="0096083B">
              <w:rPr>
                <w:bCs/>
              </w:rPr>
              <w:t>0.08</w:t>
            </w:r>
            <w:r w:rsidR="00CA4F7E">
              <w:rPr>
                <w:bCs/>
              </w:rPr>
              <w:t>.19</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D1" w:rsidRDefault="006A7CD1" w:rsidP="006B7B6B">
      <w:pPr>
        <w:spacing w:after="0" w:line="240" w:lineRule="auto"/>
      </w:pPr>
      <w:r>
        <w:separator/>
      </w:r>
    </w:p>
  </w:footnote>
  <w:footnote w:type="continuationSeparator" w:id="0">
    <w:p w:rsidR="006A7CD1" w:rsidRDefault="006A7CD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CA4F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DE-AR000XXXX with [Insert Recipient]</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CA4F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9"/>
  </w:num>
  <w:num w:numId="5">
    <w:abstractNumId w:val="15"/>
  </w:num>
  <w:num w:numId="6">
    <w:abstractNumId w:val="25"/>
  </w:num>
  <w:num w:numId="7">
    <w:abstractNumId w:val="19"/>
  </w:num>
  <w:num w:numId="8">
    <w:abstractNumId w:val="26"/>
  </w:num>
  <w:num w:numId="9">
    <w:abstractNumId w:val="21"/>
  </w:num>
  <w:num w:numId="10">
    <w:abstractNumId w:val="17"/>
  </w:num>
  <w:num w:numId="11">
    <w:abstractNumId w:val="9"/>
  </w:num>
  <w:num w:numId="12">
    <w:abstractNumId w:val="22"/>
  </w:num>
  <w:num w:numId="13">
    <w:abstractNumId w:val="16"/>
  </w:num>
  <w:num w:numId="14">
    <w:abstractNumId w:val="11"/>
  </w:num>
  <w:num w:numId="15">
    <w:abstractNumId w:val="5"/>
  </w:num>
  <w:num w:numId="16">
    <w:abstractNumId w:val="13"/>
  </w:num>
  <w:num w:numId="17">
    <w:abstractNumId w:val="23"/>
  </w:num>
  <w:num w:numId="18">
    <w:abstractNumId w:val="30"/>
  </w:num>
  <w:num w:numId="19">
    <w:abstractNumId w:val="3"/>
  </w:num>
  <w:num w:numId="20">
    <w:abstractNumId w:val="6"/>
  </w:num>
  <w:num w:numId="21">
    <w:abstractNumId w:val="31"/>
  </w:num>
  <w:num w:numId="22">
    <w:abstractNumId w:val="20"/>
  </w:num>
  <w:num w:numId="23">
    <w:abstractNumId w:val="18"/>
  </w:num>
  <w:num w:numId="24">
    <w:abstractNumId w:val="2"/>
  </w:num>
  <w:num w:numId="25">
    <w:abstractNumId w:val="10"/>
  </w:num>
  <w:num w:numId="26">
    <w:abstractNumId w:val="14"/>
  </w:num>
  <w:num w:numId="27">
    <w:abstractNumId w:val="4"/>
  </w:num>
  <w:num w:numId="28">
    <w:abstractNumId w:val="12"/>
  </w:num>
  <w:num w:numId="29">
    <w:abstractNumId w:val="24"/>
  </w:num>
  <w:num w:numId="30">
    <w:abstractNumId w:val="7"/>
  </w:num>
  <w:num w:numId="31">
    <w:abstractNumId w:val="3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65A28"/>
    <w:rsid w:val="00094487"/>
    <w:rsid w:val="000C45E4"/>
    <w:rsid w:val="00100DA9"/>
    <w:rsid w:val="00103258"/>
    <w:rsid w:val="00110C04"/>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61862"/>
    <w:rsid w:val="002649CF"/>
    <w:rsid w:val="00264FAB"/>
    <w:rsid w:val="0029467D"/>
    <w:rsid w:val="00295744"/>
    <w:rsid w:val="00296E85"/>
    <w:rsid w:val="002A2AB5"/>
    <w:rsid w:val="002B231A"/>
    <w:rsid w:val="002D60C8"/>
    <w:rsid w:val="002E021F"/>
    <w:rsid w:val="002E281F"/>
    <w:rsid w:val="002E2AC4"/>
    <w:rsid w:val="002E6011"/>
    <w:rsid w:val="003709E7"/>
    <w:rsid w:val="00375580"/>
    <w:rsid w:val="00377611"/>
    <w:rsid w:val="003824E2"/>
    <w:rsid w:val="00387986"/>
    <w:rsid w:val="00391178"/>
    <w:rsid w:val="0039601F"/>
    <w:rsid w:val="00396028"/>
    <w:rsid w:val="003A4063"/>
    <w:rsid w:val="003F512F"/>
    <w:rsid w:val="003F72CF"/>
    <w:rsid w:val="0041032F"/>
    <w:rsid w:val="00411C17"/>
    <w:rsid w:val="0046644A"/>
    <w:rsid w:val="00484B41"/>
    <w:rsid w:val="00486F8C"/>
    <w:rsid w:val="00487398"/>
    <w:rsid w:val="004963CF"/>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3F07"/>
    <w:rsid w:val="006A54CF"/>
    <w:rsid w:val="006A7CD1"/>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5010B"/>
    <w:rsid w:val="00753F56"/>
    <w:rsid w:val="00762DB8"/>
    <w:rsid w:val="00772AC5"/>
    <w:rsid w:val="00772E04"/>
    <w:rsid w:val="007B6959"/>
    <w:rsid w:val="007C20AD"/>
    <w:rsid w:val="007E3C62"/>
    <w:rsid w:val="007F4191"/>
    <w:rsid w:val="00804BDD"/>
    <w:rsid w:val="0081166B"/>
    <w:rsid w:val="00817209"/>
    <w:rsid w:val="00851488"/>
    <w:rsid w:val="00860838"/>
    <w:rsid w:val="008808AA"/>
    <w:rsid w:val="008836D0"/>
    <w:rsid w:val="008848A6"/>
    <w:rsid w:val="008866F0"/>
    <w:rsid w:val="00890D0B"/>
    <w:rsid w:val="00891C72"/>
    <w:rsid w:val="00894BA5"/>
    <w:rsid w:val="0089573A"/>
    <w:rsid w:val="008A6AFE"/>
    <w:rsid w:val="008C2ABE"/>
    <w:rsid w:val="008D19E7"/>
    <w:rsid w:val="008E4500"/>
    <w:rsid w:val="008E5F69"/>
    <w:rsid w:val="00901066"/>
    <w:rsid w:val="00914AA1"/>
    <w:rsid w:val="009156B5"/>
    <w:rsid w:val="009218D0"/>
    <w:rsid w:val="00921D29"/>
    <w:rsid w:val="009407C3"/>
    <w:rsid w:val="009466E1"/>
    <w:rsid w:val="009557CC"/>
    <w:rsid w:val="009564EB"/>
    <w:rsid w:val="0096083B"/>
    <w:rsid w:val="0096160A"/>
    <w:rsid w:val="00971184"/>
    <w:rsid w:val="009818EC"/>
    <w:rsid w:val="00983FCE"/>
    <w:rsid w:val="0098729A"/>
    <w:rsid w:val="009A5A8B"/>
    <w:rsid w:val="009A71EB"/>
    <w:rsid w:val="009B5F03"/>
    <w:rsid w:val="009F41D4"/>
    <w:rsid w:val="009F7716"/>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BE"/>
    <w:rsid w:val="00BD57CF"/>
    <w:rsid w:val="00BD5C76"/>
    <w:rsid w:val="00BD6A72"/>
    <w:rsid w:val="00C015F8"/>
    <w:rsid w:val="00C0590A"/>
    <w:rsid w:val="00C2451E"/>
    <w:rsid w:val="00C3693A"/>
    <w:rsid w:val="00C4227A"/>
    <w:rsid w:val="00C45AD4"/>
    <w:rsid w:val="00C511D0"/>
    <w:rsid w:val="00C5174C"/>
    <w:rsid w:val="00C52431"/>
    <w:rsid w:val="00C5300A"/>
    <w:rsid w:val="00C86EAF"/>
    <w:rsid w:val="00C96919"/>
    <w:rsid w:val="00CA4F7E"/>
    <w:rsid w:val="00CB2F70"/>
    <w:rsid w:val="00CB43EB"/>
    <w:rsid w:val="00CC5B64"/>
    <w:rsid w:val="00CD6E88"/>
    <w:rsid w:val="00CE2F31"/>
    <w:rsid w:val="00CE5FD4"/>
    <w:rsid w:val="00CE7273"/>
    <w:rsid w:val="00CF3BA0"/>
    <w:rsid w:val="00D002FC"/>
    <w:rsid w:val="00D01E26"/>
    <w:rsid w:val="00D22DA4"/>
    <w:rsid w:val="00D27285"/>
    <w:rsid w:val="00D5538E"/>
    <w:rsid w:val="00D6226A"/>
    <w:rsid w:val="00D83C75"/>
    <w:rsid w:val="00DB14EA"/>
    <w:rsid w:val="00DB210F"/>
    <w:rsid w:val="00DE4B81"/>
    <w:rsid w:val="00DF3409"/>
    <w:rsid w:val="00DF7E6E"/>
    <w:rsid w:val="00E033F3"/>
    <w:rsid w:val="00E05069"/>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5A6F-A7DB-46E8-9D42-1CC7731B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Legal</cp:lastModifiedBy>
  <cp:revision>4</cp:revision>
  <cp:lastPrinted>2015-08-03T14:19:00Z</cp:lastPrinted>
  <dcterms:created xsi:type="dcterms:W3CDTF">2019-10-02T14:02:00Z</dcterms:created>
  <dcterms:modified xsi:type="dcterms:W3CDTF">2019-10-08T13:46:00Z</dcterms:modified>
</cp:coreProperties>
</file>