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C0C" w14:textId="77777777" w:rsidR="00F86A2F" w:rsidRPr="00630A27" w:rsidRDefault="00F86A2F" w:rsidP="00F86A2F">
      <w:pPr>
        <w:jc w:val="center"/>
        <w:rPr>
          <w:b/>
          <w:bCs/>
          <w:sz w:val="28"/>
          <w:szCs w:val="28"/>
          <w:u w:val="single"/>
        </w:rPr>
      </w:pPr>
      <w:bookmarkStart w:id="0" w:name="_Toc244312864"/>
      <w:bookmarkStart w:id="1" w:name="_GoBack"/>
      <w:bookmarkEnd w:id="1"/>
      <w:r w:rsidRPr="00630A27">
        <w:rPr>
          <w:b/>
          <w:bCs/>
          <w:sz w:val="28"/>
          <w:szCs w:val="28"/>
          <w:u w:val="single"/>
        </w:rPr>
        <w:t xml:space="preserve">ATTACHMENT 2: </w:t>
      </w:r>
    </w:p>
    <w:p w14:paraId="6B00A904" w14:textId="77777777"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1360E46F"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728320C" w14:textId="77777777"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14:paraId="3EA1B123" w14:textId="77777777" w:rsidR="00797475"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797475">
        <w:rPr>
          <w:rFonts w:eastAsia="Times New Roman" w:cs="Times New Roman"/>
          <w:b/>
          <w:bCs/>
          <w:sz w:val="28"/>
          <w:szCs w:val="28"/>
          <w:u w:val="single"/>
        </w:rPr>
        <w:t xml:space="preserve"> </w:t>
      </w:r>
    </w:p>
    <w:p w14:paraId="2C14A0EC" w14:textId="5C156CBF" w:rsidR="00F86A2F" w:rsidRPr="00630A27" w:rsidRDefault="00797475"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797475">
        <w:rPr>
          <w:rFonts w:eastAsia="Times New Roman" w:cs="Times New Roman"/>
          <w:b/>
          <w:bCs/>
          <w:sz w:val="28"/>
          <w:szCs w:val="28"/>
          <w:u w:val="single"/>
        </w:rPr>
        <w:t>AND A COMMERCIALIZATION PLAN</w:t>
      </w:r>
    </w:p>
    <w:bookmarkEnd w:id="0"/>
    <w:p w14:paraId="2E6E37CE" w14:textId="77777777" w:rsidR="00F86A2F" w:rsidRPr="00630A27" w:rsidRDefault="00F86A2F" w:rsidP="00F86A2F">
      <w:pPr>
        <w:jc w:val="center"/>
        <w:rPr>
          <w:b/>
          <w:bCs/>
          <w:sz w:val="24"/>
          <w:szCs w:val="24"/>
        </w:rPr>
      </w:pPr>
    </w:p>
    <w:p w14:paraId="555FAAE8" w14:textId="77777777"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14:paraId="522C74A6" w14:textId="77777777" w:rsidR="00F86A2F" w:rsidRPr="00710395" w:rsidRDefault="00F86A2F" w:rsidP="00F86A2F">
      <w:pPr>
        <w:pStyle w:val="CM1"/>
        <w:ind w:left="720"/>
        <w:rPr>
          <w:rFonts w:asciiTheme="minorHAnsi" w:hAnsiTheme="minorHAnsi"/>
        </w:rPr>
      </w:pPr>
    </w:p>
    <w:p w14:paraId="0E83F380" w14:textId="77777777"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14:paraId="77213E41" w14:textId="77777777" w:rsidR="00F86A2F" w:rsidRPr="00710395" w:rsidRDefault="00F86A2F" w:rsidP="00F86A2F">
      <w:pPr>
        <w:pStyle w:val="Default"/>
        <w:rPr>
          <w:rFonts w:asciiTheme="minorHAnsi" w:hAnsiTheme="minorHAnsi" w:cs="Times New Roman"/>
          <w:color w:val="auto"/>
        </w:rPr>
      </w:pPr>
    </w:p>
    <w:p w14:paraId="515E2BC3" w14:textId="77777777"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14:paraId="24C1C443" w14:textId="77777777" w:rsidR="00EE4796" w:rsidRDefault="00EE4796" w:rsidP="00EE4796">
      <w:pPr>
        <w:pStyle w:val="CM1"/>
        <w:ind w:left="720"/>
        <w:rPr>
          <w:rFonts w:asciiTheme="minorHAnsi" w:hAnsiTheme="minorHAnsi"/>
        </w:rPr>
      </w:pPr>
    </w:p>
    <w:p w14:paraId="389311D0" w14:textId="77777777"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14:paraId="7D1F195F" w14:textId="77777777"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2D1D5649" w14:textId="77777777" w:rsidR="00F86A2F" w:rsidRPr="00710395" w:rsidRDefault="00F079F1"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14:paraId="59840343" w14:textId="77777777" w:rsidR="00F86A2F" w:rsidRPr="00710395" w:rsidRDefault="00F86A2F" w:rsidP="00F86A2F">
      <w:pPr>
        <w:pStyle w:val="Default"/>
        <w:rPr>
          <w:rFonts w:asciiTheme="minorHAnsi" w:hAnsiTheme="minorHAnsi" w:cs="Times New Roman"/>
          <w:color w:val="auto"/>
        </w:rPr>
      </w:pPr>
    </w:p>
    <w:p w14:paraId="47AA2704" w14:textId="77777777" w:rsidR="00B46418"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p>
    <w:p w14:paraId="6BF1A396" w14:textId="77777777" w:rsidR="00B46418" w:rsidRDefault="00B46418" w:rsidP="00B46418">
      <w:pPr>
        <w:pStyle w:val="Default"/>
        <w:rPr>
          <w:rFonts w:asciiTheme="minorHAnsi" w:hAnsiTheme="minorHAnsi" w:cs="Times New Roman"/>
          <w:color w:val="auto"/>
        </w:rPr>
      </w:pPr>
    </w:p>
    <w:p w14:paraId="387E0BE3" w14:textId="11D82AA7" w:rsidR="00F86A2F" w:rsidRPr="00710395" w:rsidRDefault="00B46418"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Commercialization Plan </w:t>
      </w:r>
      <w:r w:rsidR="00F86A2F" w:rsidRPr="00710395">
        <w:rPr>
          <w:rFonts w:asciiTheme="minorHAnsi" w:hAnsiTheme="minorHAnsi" w:cs="Times New Roman"/>
          <w:color w:val="auto"/>
        </w:rPr>
        <w:br/>
      </w:r>
    </w:p>
    <w:p w14:paraId="569AE88B" w14:textId="77777777" w:rsidR="00F86A2F" w:rsidRPr="00710395" w:rsidRDefault="00F86A2F" w:rsidP="00F86A2F">
      <w:pPr>
        <w:pStyle w:val="Default"/>
        <w:rPr>
          <w:rFonts w:asciiTheme="minorHAnsi" w:hAnsiTheme="minorHAnsi" w:cs="Times New Roman"/>
          <w:color w:val="auto"/>
        </w:rPr>
      </w:pPr>
    </w:p>
    <w:p w14:paraId="0FD7F79D"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14:paraId="6B42F0B7" w14:textId="77777777" w:rsidR="00F86A2F" w:rsidRPr="00710395" w:rsidRDefault="00F86A2F" w:rsidP="00F86A2F">
      <w:pPr>
        <w:pStyle w:val="Default"/>
        <w:spacing w:line="283" w:lineRule="atLeast"/>
        <w:rPr>
          <w:rFonts w:asciiTheme="minorHAnsi" w:hAnsiTheme="minorHAnsi" w:cs="Times New Roman"/>
          <w:color w:val="auto"/>
        </w:rPr>
      </w:pPr>
    </w:p>
    <w:p w14:paraId="02197C8B"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26CB8EE1" w14:textId="77777777" w:rsidR="00F86A2F" w:rsidRPr="00710395" w:rsidRDefault="00F86A2F" w:rsidP="00F86A2F">
      <w:pPr>
        <w:pStyle w:val="Default"/>
        <w:rPr>
          <w:rFonts w:asciiTheme="minorHAnsi" w:hAnsiTheme="minorHAnsi"/>
        </w:rPr>
      </w:pPr>
    </w:p>
    <w:p w14:paraId="6A3511EC"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10FD86D2" w14:textId="77777777"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w:t>
      </w:r>
      <w:r w:rsidR="002E0589">
        <w:rPr>
          <w:rFonts w:asciiTheme="minorHAnsi" w:hAnsiTheme="minorHAnsi"/>
          <w:b/>
        </w:rPr>
        <w:t>April 2018</w:t>
      </w:r>
      <w:r w:rsidRPr="00710395">
        <w:rPr>
          <w:rFonts w:asciiTheme="minorHAnsi" w:hAnsiTheme="minorHAnsi"/>
          <w:b/>
        </w:rPr>
        <w:t>)</w:t>
      </w:r>
    </w:p>
    <w:p w14:paraId="6929D1F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14:paraId="04691354" w14:textId="77777777" w:rsidR="005B4092" w:rsidRPr="00154021" w:rsidRDefault="005B4092" w:rsidP="005B4092">
      <w:pPr>
        <w:kinsoku w:val="0"/>
        <w:overflowPunct w:val="0"/>
        <w:spacing w:before="2"/>
        <w:rPr>
          <w:rFonts w:cs="Arial"/>
          <w:spacing w:val="-1"/>
          <w:sz w:val="24"/>
          <w:szCs w:val="24"/>
        </w:rPr>
      </w:pPr>
    </w:p>
    <w:p w14:paraId="4E173723" w14:textId="77777777" w:rsidR="005B4092" w:rsidRPr="005B4092" w:rsidRDefault="005B4092" w:rsidP="005B4092">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E33FAA">
        <w:rPr>
          <w:rFonts w:cs="Arial"/>
          <w:spacing w:val="-1"/>
          <w:sz w:val="24"/>
          <w:szCs w:val="24"/>
        </w:rPr>
        <w:t xml:space="preserve"> Plant Variety Protection Act (</w:t>
      </w:r>
      <w:r w:rsidRPr="00154021">
        <w:rPr>
          <w:rFonts w:cs="Arial"/>
          <w:spacing w:val="-1"/>
          <w:sz w:val="24"/>
          <w:szCs w:val="24"/>
        </w:rPr>
        <w:t>7 U.S.C. 2321et seq.).</w:t>
      </w:r>
    </w:p>
    <w:p w14:paraId="6BAB0757"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1B457557"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2B35143"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14:paraId="44415C32"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E33FAA">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1A7AB060"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E33FAA">
        <w:rPr>
          <w:rFonts w:cs="Arial"/>
          <w:spacing w:val="-1"/>
          <w:sz w:val="24"/>
          <w:szCs w:val="24"/>
        </w:rPr>
        <w:t>Internal Revenue Code of 1954 (</w:t>
      </w:r>
      <w:r w:rsidRPr="00154021">
        <w:rPr>
          <w:rFonts w:cs="Arial"/>
          <w:spacing w:val="-1"/>
          <w:sz w:val="24"/>
          <w:szCs w:val="24"/>
        </w:rPr>
        <w:t>26 U.S.C. 501(c) and exempt from taxation under section 501(a)</w:t>
      </w:r>
      <w:r w:rsidR="00E33FAA">
        <w:rPr>
          <w:rFonts w:cs="Arial"/>
          <w:spacing w:val="-1"/>
          <w:sz w:val="24"/>
          <w:szCs w:val="24"/>
        </w:rPr>
        <w:t xml:space="preserve"> of the Internal Revenue Code (</w:t>
      </w:r>
      <w:r w:rsidRPr="00154021">
        <w:rPr>
          <w:rFonts w:cs="Arial"/>
          <w:spacing w:val="-1"/>
          <w:sz w:val="24"/>
          <w:szCs w:val="24"/>
        </w:rPr>
        <w:t>25 U.S.C. 501(a)) or any nonprofit scientific or educational organization qualified under a state nonprofit organization statute.</w:t>
      </w:r>
    </w:p>
    <w:p w14:paraId="6FCD0DEA"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14:paraId="289BCF4F"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14:paraId="7C6CC291"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14:paraId="73712FB5" w14:textId="77777777" w:rsidR="005B4092" w:rsidRPr="00154021" w:rsidRDefault="005B4092" w:rsidP="005B4092">
      <w:pPr>
        <w:kinsoku w:val="0"/>
        <w:overflowPunct w:val="0"/>
        <w:spacing w:before="2"/>
        <w:rPr>
          <w:rFonts w:cs="Arial"/>
          <w:spacing w:val="-1"/>
          <w:sz w:val="24"/>
          <w:szCs w:val="24"/>
        </w:rPr>
      </w:pPr>
    </w:p>
    <w:p w14:paraId="5840167B"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2DAB63E5"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14:paraId="232421A8" w14:textId="77777777" w:rsidR="005B4092" w:rsidRPr="00154021" w:rsidRDefault="005B4092" w:rsidP="005B4092">
      <w:pPr>
        <w:kinsoku w:val="0"/>
        <w:overflowPunct w:val="0"/>
        <w:spacing w:before="2"/>
        <w:rPr>
          <w:rFonts w:cs="Arial"/>
          <w:spacing w:val="-1"/>
          <w:sz w:val="24"/>
          <w:szCs w:val="24"/>
        </w:rPr>
      </w:pPr>
    </w:p>
    <w:p w14:paraId="3C2BFF3A"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14:paraId="7EEB1BB3" w14:textId="77777777" w:rsidR="005B4092" w:rsidRPr="00154021" w:rsidRDefault="005B4092" w:rsidP="005B4092">
      <w:pPr>
        <w:kinsoku w:val="0"/>
        <w:overflowPunct w:val="0"/>
        <w:spacing w:before="2"/>
        <w:ind w:left="720"/>
        <w:rPr>
          <w:rFonts w:cs="Arial"/>
          <w:spacing w:val="-1"/>
          <w:sz w:val="24"/>
          <w:szCs w:val="24"/>
        </w:rPr>
      </w:pPr>
    </w:p>
    <w:p w14:paraId="1C9294BF"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14:paraId="3E611A76" w14:textId="77777777" w:rsidR="005B4092" w:rsidRPr="00154021" w:rsidRDefault="005B4092" w:rsidP="005B4092">
      <w:pPr>
        <w:kinsoku w:val="0"/>
        <w:overflowPunct w:val="0"/>
        <w:spacing w:before="2"/>
        <w:ind w:left="720"/>
        <w:rPr>
          <w:rFonts w:cs="Arial"/>
          <w:spacing w:val="-1"/>
          <w:sz w:val="24"/>
          <w:szCs w:val="24"/>
        </w:rPr>
      </w:pPr>
    </w:p>
    <w:p w14:paraId="2E40E7C0"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14:paraId="0B078426" w14:textId="77777777" w:rsidR="005B4092" w:rsidRPr="00154021" w:rsidRDefault="005B4092" w:rsidP="005B4092">
      <w:pPr>
        <w:kinsoku w:val="0"/>
        <w:overflowPunct w:val="0"/>
        <w:spacing w:before="2"/>
        <w:ind w:left="720"/>
        <w:rPr>
          <w:rFonts w:cs="Arial"/>
          <w:spacing w:val="-1"/>
          <w:sz w:val="24"/>
          <w:szCs w:val="24"/>
        </w:rPr>
      </w:pPr>
    </w:p>
    <w:p w14:paraId="3A655FA6" w14:textId="77777777" w:rsidR="005B4092" w:rsidRPr="00154021" w:rsidRDefault="005B4092" w:rsidP="005B4092">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E33FAA">
        <w:rPr>
          <w:rFonts w:cs="Arial"/>
          <w:spacing w:val="-1"/>
          <w:sz w:val="24"/>
          <w:szCs w:val="24"/>
        </w:rPr>
        <w:t xml:space="preserve"> </w:t>
      </w:r>
      <w:r w:rsidRPr="00154021">
        <w:rPr>
          <w:rFonts w:cs="Arial"/>
          <w:spacing w:val="-1"/>
          <w:sz w:val="24"/>
          <w:szCs w:val="24"/>
        </w:rPr>
        <w:t>35 U.S.C. 202(a).</w:t>
      </w:r>
    </w:p>
    <w:p w14:paraId="5E1345D5" w14:textId="77777777" w:rsidR="005B4092" w:rsidRPr="00154021" w:rsidRDefault="005B4092" w:rsidP="005B4092">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14:paraId="246AF71D" w14:textId="77777777" w:rsidR="005B4092" w:rsidRPr="00154021" w:rsidRDefault="005B4092" w:rsidP="005B4092">
      <w:pPr>
        <w:pStyle w:val="ListParagraph"/>
        <w:tabs>
          <w:tab w:val="left" w:pos="1170"/>
        </w:tabs>
        <w:kinsoku w:val="0"/>
        <w:overflowPunct w:val="0"/>
        <w:spacing w:before="2"/>
        <w:ind w:left="1080"/>
        <w:rPr>
          <w:rFonts w:asciiTheme="minorHAnsi" w:hAnsiTheme="minorHAnsi" w:cs="Arial"/>
          <w:spacing w:val="-1"/>
          <w:sz w:val="24"/>
          <w:szCs w:val="24"/>
        </w:rPr>
      </w:pPr>
    </w:p>
    <w:p w14:paraId="3696DB3E"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14:paraId="5465ACD8" w14:textId="77777777" w:rsidR="005B4092" w:rsidRPr="00154021" w:rsidRDefault="005B4092" w:rsidP="005B4092">
      <w:pPr>
        <w:kinsoku w:val="0"/>
        <w:overflowPunct w:val="0"/>
        <w:spacing w:before="2"/>
        <w:rPr>
          <w:rFonts w:cs="Arial"/>
          <w:spacing w:val="-1"/>
          <w:sz w:val="24"/>
          <w:szCs w:val="24"/>
        </w:rPr>
      </w:pPr>
    </w:p>
    <w:p w14:paraId="5BA4B3B5"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14:paraId="588F0D68"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14:paraId="030222C8" w14:textId="77777777" w:rsidR="005B4092" w:rsidRPr="00154021" w:rsidRDefault="005B4092" w:rsidP="005B4092">
      <w:pPr>
        <w:kinsoku w:val="0"/>
        <w:overflowPunct w:val="0"/>
        <w:spacing w:before="2"/>
        <w:ind w:left="1080"/>
        <w:rPr>
          <w:rFonts w:cs="Arial"/>
          <w:spacing w:val="-1"/>
          <w:sz w:val="24"/>
          <w:szCs w:val="24"/>
        </w:rPr>
      </w:pPr>
    </w:p>
    <w:p w14:paraId="03FCF786"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1AB0913F" w14:textId="77777777" w:rsidR="005B4092" w:rsidRPr="00154021" w:rsidRDefault="005B4092" w:rsidP="005B4092">
      <w:pPr>
        <w:kinsoku w:val="0"/>
        <w:overflowPunct w:val="0"/>
        <w:spacing w:before="2"/>
        <w:ind w:left="1080"/>
        <w:rPr>
          <w:rFonts w:cs="Arial"/>
          <w:spacing w:val="-1"/>
          <w:sz w:val="24"/>
          <w:szCs w:val="24"/>
        </w:rPr>
      </w:pPr>
    </w:p>
    <w:p w14:paraId="02C0E5E3"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3D3FEF0C" w14:textId="77777777" w:rsidR="005B4092" w:rsidRPr="00154021" w:rsidRDefault="005B4092" w:rsidP="005B4092">
      <w:pPr>
        <w:kinsoku w:val="0"/>
        <w:overflowPunct w:val="0"/>
        <w:spacing w:before="2"/>
        <w:rPr>
          <w:rFonts w:cs="Arial"/>
          <w:spacing w:val="-1"/>
          <w:sz w:val="24"/>
          <w:szCs w:val="24"/>
        </w:rPr>
      </w:pPr>
    </w:p>
    <w:p w14:paraId="58C27CAF"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14:paraId="38362C27" w14:textId="77777777" w:rsidR="005B4092" w:rsidRPr="00154021" w:rsidRDefault="005B4092" w:rsidP="005B4092">
      <w:pPr>
        <w:kinsoku w:val="0"/>
        <w:overflowPunct w:val="0"/>
        <w:spacing w:before="2"/>
        <w:rPr>
          <w:rFonts w:cs="Arial"/>
          <w:spacing w:val="-1"/>
          <w:sz w:val="24"/>
          <w:szCs w:val="24"/>
        </w:rPr>
      </w:pPr>
    </w:p>
    <w:p w14:paraId="1148A133"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14:paraId="2A5CCA84" w14:textId="77777777" w:rsidR="005B4092" w:rsidRPr="00154021" w:rsidRDefault="005B4092" w:rsidP="005B4092">
      <w:pPr>
        <w:kinsoku w:val="0"/>
        <w:overflowPunct w:val="0"/>
        <w:spacing w:before="2"/>
        <w:rPr>
          <w:rFonts w:cs="Arial"/>
          <w:spacing w:val="-1"/>
          <w:sz w:val="24"/>
          <w:szCs w:val="24"/>
        </w:rPr>
      </w:pPr>
    </w:p>
    <w:p w14:paraId="44D1EB24"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44369EF7" w14:textId="77777777" w:rsidR="005B4092" w:rsidRPr="00154021" w:rsidRDefault="005B4092" w:rsidP="005B4092">
      <w:pPr>
        <w:kinsoku w:val="0"/>
        <w:overflowPunct w:val="0"/>
        <w:spacing w:before="2"/>
        <w:ind w:left="1080"/>
        <w:rPr>
          <w:rFonts w:cs="Arial"/>
          <w:spacing w:val="-1"/>
          <w:sz w:val="24"/>
          <w:szCs w:val="24"/>
        </w:rPr>
      </w:pPr>
    </w:p>
    <w:p w14:paraId="7E7D503B"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287BD3DB" w14:textId="77777777" w:rsidR="005B4092" w:rsidRPr="00154021" w:rsidRDefault="005B4092" w:rsidP="005B4092">
      <w:pPr>
        <w:kinsoku w:val="0"/>
        <w:overflowPunct w:val="0"/>
        <w:spacing w:before="2"/>
        <w:ind w:left="1080"/>
        <w:rPr>
          <w:rFonts w:cs="Arial"/>
          <w:spacing w:val="-1"/>
          <w:sz w:val="24"/>
          <w:szCs w:val="24"/>
        </w:rPr>
      </w:pPr>
    </w:p>
    <w:p w14:paraId="317B4C1B"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Contractor Action to Protect the Government's Interest</w:t>
      </w:r>
    </w:p>
    <w:p w14:paraId="62236F97" w14:textId="77777777" w:rsidR="005B4092" w:rsidRPr="00154021" w:rsidRDefault="005B4092" w:rsidP="005B4092">
      <w:pPr>
        <w:kinsoku w:val="0"/>
        <w:overflowPunct w:val="0"/>
        <w:spacing w:before="2"/>
        <w:rPr>
          <w:rFonts w:cs="Arial"/>
          <w:spacing w:val="-1"/>
          <w:sz w:val="24"/>
          <w:szCs w:val="24"/>
        </w:rPr>
      </w:pPr>
    </w:p>
    <w:p w14:paraId="047CCE26"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14:paraId="42FD368F" w14:textId="77777777" w:rsidR="005B4092" w:rsidRPr="00154021" w:rsidRDefault="005B4092" w:rsidP="005B4092">
      <w:pPr>
        <w:kinsoku w:val="0"/>
        <w:overflowPunct w:val="0"/>
        <w:spacing w:before="2"/>
        <w:ind w:left="1080"/>
        <w:rPr>
          <w:rFonts w:cs="Arial"/>
          <w:spacing w:val="-1"/>
          <w:sz w:val="24"/>
          <w:szCs w:val="24"/>
        </w:rPr>
      </w:pPr>
    </w:p>
    <w:p w14:paraId="0722F2FB"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62D0314B" w14:textId="77777777" w:rsidR="005B4092" w:rsidRPr="00154021" w:rsidRDefault="005B4092" w:rsidP="005B4092">
      <w:pPr>
        <w:kinsoku w:val="0"/>
        <w:overflowPunct w:val="0"/>
        <w:spacing w:before="2"/>
        <w:ind w:left="1080"/>
        <w:rPr>
          <w:rFonts w:cs="Arial"/>
          <w:spacing w:val="-1"/>
          <w:sz w:val="24"/>
          <w:szCs w:val="24"/>
        </w:rPr>
      </w:pPr>
    </w:p>
    <w:p w14:paraId="67FFE73B" w14:textId="77777777" w:rsidR="005B4092" w:rsidRPr="00154021" w:rsidRDefault="005B4092" w:rsidP="005B4092">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5F56AC3B" w14:textId="77777777" w:rsidR="005B4092" w:rsidRPr="00154021" w:rsidRDefault="005B4092" w:rsidP="005B4092">
      <w:pPr>
        <w:kinsoku w:val="0"/>
        <w:overflowPunct w:val="0"/>
        <w:spacing w:before="2"/>
        <w:ind w:left="1080"/>
        <w:rPr>
          <w:rFonts w:cs="Arial"/>
          <w:spacing w:val="-1"/>
          <w:sz w:val="24"/>
          <w:szCs w:val="24"/>
        </w:rPr>
      </w:pPr>
    </w:p>
    <w:p w14:paraId="1B1A3F8F"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w:t>
      </w:r>
      <w:r w:rsidRPr="00154021">
        <w:rPr>
          <w:rFonts w:asciiTheme="minorHAnsi" w:hAnsiTheme="minorHAnsi" w:cs="Arial"/>
          <w:spacing w:val="-1"/>
          <w:sz w:val="24"/>
          <w:szCs w:val="24"/>
        </w:rPr>
        <w:lastRenderedPageBreak/>
        <w:t>certain rights in the invention.”</w:t>
      </w:r>
    </w:p>
    <w:p w14:paraId="5905088B" w14:textId="77777777" w:rsidR="005B4092" w:rsidRPr="00154021" w:rsidRDefault="005B4092" w:rsidP="005B4092">
      <w:pPr>
        <w:kinsoku w:val="0"/>
        <w:overflowPunct w:val="0"/>
        <w:spacing w:before="2"/>
        <w:ind w:left="1080"/>
        <w:rPr>
          <w:rFonts w:cs="Arial"/>
          <w:spacing w:val="-1"/>
          <w:sz w:val="24"/>
          <w:szCs w:val="24"/>
        </w:rPr>
      </w:pPr>
    </w:p>
    <w:p w14:paraId="3125B42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14:paraId="0E7D3F72" w14:textId="77777777" w:rsidR="005B4092" w:rsidRPr="00154021" w:rsidRDefault="005B4092" w:rsidP="005B4092">
      <w:pPr>
        <w:kinsoku w:val="0"/>
        <w:overflowPunct w:val="0"/>
        <w:spacing w:before="2"/>
        <w:rPr>
          <w:rFonts w:cs="Arial"/>
          <w:spacing w:val="-1"/>
          <w:sz w:val="24"/>
          <w:szCs w:val="24"/>
        </w:rPr>
      </w:pPr>
    </w:p>
    <w:p w14:paraId="75F7B4E1"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14:paraId="3AE30BFB" w14:textId="77777777" w:rsidR="005B4092" w:rsidRPr="00154021" w:rsidRDefault="005B4092" w:rsidP="005B4092">
      <w:pPr>
        <w:kinsoku w:val="0"/>
        <w:overflowPunct w:val="0"/>
        <w:spacing w:before="2"/>
        <w:ind w:left="1080"/>
        <w:rPr>
          <w:rFonts w:cs="Arial"/>
          <w:spacing w:val="-1"/>
          <w:sz w:val="24"/>
          <w:szCs w:val="24"/>
        </w:rPr>
      </w:pPr>
    </w:p>
    <w:p w14:paraId="334F79EC"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14:paraId="0B050F21" w14:textId="77777777" w:rsidR="005B4092" w:rsidRPr="00154021" w:rsidRDefault="005B4092" w:rsidP="005B4092">
      <w:pPr>
        <w:kinsoku w:val="0"/>
        <w:overflowPunct w:val="0"/>
        <w:spacing w:before="2"/>
        <w:ind w:left="1080"/>
        <w:rPr>
          <w:rFonts w:cs="Arial"/>
          <w:spacing w:val="-1"/>
          <w:sz w:val="24"/>
          <w:szCs w:val="24"/>
        </w:rPr>
      </w:pPr>
    </w:p>
    <w:p w14:paraId="5C2227E6"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14:paraId="25618443" w14:textId="77777777" w:rsidR="005B4092" w:rsidRPr="00154021" w:rsidRDefault="005B4092" w:rsidP="005B4092">
      <w:pPr>
        <w:kinsoku w:val="0"/>
        <w:overflowPunct w:val="0"/>
        <w:spacing w:before="2"/>
        <w:ind w:left="1080"/>
        <w:rPr>
          <w:rFonts w:cs="Arial"/>
          <w:spacing w:val="-1"/>
          <w:sz w:val="24"/>
          <w:szCs w:val="24"/>
        </w:rPr>
      </w:pPr>
    </w:p>
    <w:p w14:paraId="291BD2C9"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14:paraId="2B7237B2" w14:textId="77777777" w:rsidR="005B4092" w:rsidRPr="00154021" w:rsidRDefault="005B4092" w:rsidP="005B4092">
      <w:pPr>
        <w:kinsoku w:val="0"/>
        <w:overflowPunct w:val="0"/>
        <w:spacing w:before="2"/>
        <w:rPr>
          <w:rFonts w:cs="Arial"/>
          <w:spacing w:val="-1"/>
          <w:sz w:val="24"/>
          <w:szCs w:val="24"/>
        </w:rPr>
      </w:pPr>
    </w:p>
    <w:p w14:paraId="57CF76DD"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4D0FD5E6" w14:textId="77777777" w:rsidR="005B4092" w:rsidRPr="00154021" w:rsidRDefault="005B4092" w:rsidP="005B4092">
      <w:pPr>
        <w:kinsoku w:val="0"/>
        <w:overflowPunct w:val="0"/>
        <w:spacing w:before="2"/>
        <w:rPr>
          <w:rFonts w:cs="Arial"/>
          <w:spacing w:val="-1"/>
          <w:sz w:val="24"/>
          <w:szCs w:val="24"/>
        </w:rPr>
      </w:pPr>
    </w:p>
    <w:p w14:paraId="738DBBAF"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14:paraId="1F660E54" w14:textId="77777777" w:rsidR="005B4092" w:rsidRPr="00154021" w:rsidRDefault="005B4092" w:rsidP="005B4092">
      <w:pPr>
        <w:kinsoku w:val="0"/>
        <w:overflowPunct w:val="0"/>
        <w:spacing w:before="2"/>
        <w:rPr>
          <w:rFonts w:cs="Arial"/>
          <w:spacing w:val="-1"/>
          <w:sz w:val="24"/>
          <w:szCs w:val="24"/>
        </w:rPr>
      </w:pPr>
    </w:p>
    <w:p w14:paraId="294079C5"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298C3875"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14:paraId="035EBBB2" w14:textId="77777777" w:rsidR="005B4092" w:rsidRPr="00154021" w:rsidRDefault="005B4092" w:rsidP="005B4092">
      <w:pPr>
        <w:kinsoku w:val="0"/>
        <w:overflowPunct w:val="0"/>
        <w:spacing w:before="2"/>
        <w:rPr>
          <w:rFonts w:cs="Arial"/>
          <w:spacing w:val="-1"/>
          <w:sz w:val="24"/>
          <w:szCs w:val="24"/>
        </w:rPr>
      </w:pPr>
    </w:p>
    <w:p w14:paraId="64535150"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14:paraId="6B6345FF"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14:paraId="5A8142F8" w14:textId="77777777" w:rsidR="005B4092" w:rsidRPr="00154021" w:rsidRDefault="005B4092" w:rsidP="005B4092">
      <w:pPr>
        <w:kinsoku w:val="0"/>
        <w:overflowPunct w:val="0"/>
        <w:spacing w:before="2"/>
        <w:ind w:left="720"/>
        <w:rPr>
          <w:rFonts w:cs="Arial"/>
          <w:spacing w:val="-1"/>
          <w:sz w:val="24"/>
          <w:szCs w:val="24"/>
        </w:rPr>
      </w:pPr>
    </w:p>
    <w:p w14:paraId="2BF2FD56"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14:paraId="23ED8C88" w14:textId="77777777" w:rsidR="005B4092" w:rsidRPr="00154021" w:rsidRDefault="005B4092" w:rsidP="005B4092">
      <w:pPr>
        <w:kinsoku w:val="0"/>
        <w:overflowPunct w:val="0"/>
        <w:spacing w:before="2"/>
        <w:ind w:left="720"/>
        <w:rPr>
          <w:rFonts w:cs="Arial"/>
          <w:spacing w:val="-1"/>
          <w:sz w:val="24"/>
          <w:szCs w:val="24"/>
        </w:rPr>
      </w:pPr>
    </w:p>
    <w:p w14:paraId="6B351166"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14:paraId="6DE967A5" w14:textId="77777777" w:rsidR="005B4092" w:rsidRPr="00154021" w:rsidRDefault="005B4092" w:rsidP="005B4092">
      <w:pPr>
        <w:kinsoku w:val="0"/>
        <w:overflowPunct w:val="0"/>
        <w:spacing w:before="2"/>
        <w:ind w:left="720"/>
        <w:rPr>
          <w:rFonts w:cs="Arial"/>
          <w:spacing w:val="-1"/>
          <w:sz w:val="24"/>
          <w:szCs w:val="24"/>
        </w:rPr>
      </w:pPr>
    </w:p>
    <w:p w14:paraId="2E3A0CDE"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14:paraId="040C7818" w14:textId="77777777" w:rsidR="005B4092" w:rsidRPr="00154021" w:rsidRDefault="005B4092" w:rsidP="005B4092">
      <w:pPr>
        <w:kinsoku w:val="0"/>
        <w:overflowPunct w:val="0"/>
        <w:spacing w:before="2"/>
        <w:rPr>
          <w:rFonts w:cs="Arial"/>
          <w:spacing w:val="-1"/>
          <w:sz w:val="24"/>
          <w:szCs w:val="24"/>
        </w:rPr>
      </w:pPr>
    </w:p>
    <w:p w14:paraId="6D67E33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14:paraId="4584C584" w14:textId="77777777" w:rsidR="005B4092" w:rsidRPr="00154021" w:rsidRDefault="005B4092" w:rsidP="005B4092">
      <w:pPr>
        <w:kinsoku w:val="0"/>
        <w:overflowPunct w:val="0"/>
        <w:spacing w:before="2"/>
        <w:rPr>
          <w:rFonts w:cs="Arial"/>
          <w:spacing w:val="-1"/>
          <w:sz w:val="24"/>
          <w:szCs w:val="24"/>
        </w:rPr>
      </w:pPr>
    </w:p>
    <w:p w14:paraId="119A41A2" w14:textId="77777777"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14:paraId="65D48DCF"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2651339D" w14:textId="77777777" w:rsidR="005B4092" w:rsidRPr="00154021" w:rsidRDefault="005B4092" w:rsidP="005B4092">
      <w:pPr>
        <w:kinsoku w:val="0"/>
        <w:overflowPunct w:val="0"/>
        <w:spacing w:before="2"/>
        <w:ind w:left="810"/>
        <w:rPr>
          <w:rFonts w:cs="Arial"/>
          <w:spacing w:val="-1"/>
          <w:sz w:val="24"/>
          <w:szCs w:val="24"/>
        </w:rPr>
      </w:pPr>
    </w:p>
    <w:p w14:paraId="1435D9B7"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accordance with 35 U.S.C. 202(e) and 37 CFR 401.10;</w:t>
      </w:r>
    </w:p>
    <w:p w14:paraId="70EE067D" w14:textId="77777777" w:rsidR="005B4092" w:rsidRPr="00154021" w:rsidRDefault="005B4092" w:rsidP="005B4092">
      <w:pPr>
        <w:kinsoku w:val="0"/>
        <w:overflowPunct w:val="0"/>
        <w:spacing w:before="2"/>
        <w:ind w:left="810"/>
        <w:rPr>
          <w:rFonts w:cs="Arial"/>
          <w:spacing w:val="-1"/>
          <w:sz w:val="24"/>
          <w:szCs w:val="24"/>
        </w:rPr>
      </w:pPr>
    </w:p>
    <w:p w14:paraId="767BCE69"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06AA8CA8" w14:textId="77777777"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 xml:space="preserve"> </w:t>
      </w:r>
    </w:p>
    <w:p w14:paraId="57E2BBE8"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w:t>
      </w:r>
      <w:r w:rsidRPr="00154021">
        <w:rPr>
          <w:rFonts w:asciiTheme="minorHAnsi" w:hAnsiTheme="minorHAnsi" w:cs="Arial"/>
          <w:spacing w:val="-1"/>
          <w:sz w:val="24"/>
          <w:szCs w:val="24"/>
        </w:rPr>
        <w:lastRenderedPageBreak/>
        <w:t>agency or the contractor may request that the Secretary review the contractor's licensing program and decisions regarding small business applicants.</w:t>
      </w:r>
    </w:p>
    <w:p w14:paraId="304F99EF" w14:textId="77777777" w:rsidR="005B4092" w:rsidRPr="00154021" w:rsidRDefault="005B4092" w:rsidP="005B4092">
      <w:pPr>
        <w:kinsoku w:val="0"/>
        <w:overflowPunct w:val="0"/>
        <w:spacing w:before="2"/>
        <w:rPr>
          <w:rFonts w:cs="Arial"/>
          <w:sz w:val="24"/>
          <w:szCs w:val="24"/>
        </w:rPr>
      </w:pPr>
    </w:p>
    <w:p w14:paraId="78D139D1" w14:textId="77777777" w:rsidR="005B4092" w:rsidRPr="00154021" w:rsidRDefault="005B4092" w:rsidP="005B4092">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154021">
        <w:rPr>
          <w:rFonts w:cs="Arial"/>
          <w:sz w:val="24"/>
          <w:szCs w:val="24"/>
        </w:rPr>
        <w:t xml:space="preserve">Communication </w:t>
      </w:r>
    </w:p>
    <w:p w14:paraId="0DA3F885" w14:textId="77777777" w:rsidR="005B4092" w:rsidRPr="00154021" w:rsidRDefault="005B4092" w:rsidP="005B4092">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14:paraId="6681C7E0" w14:textId="77777777" w:rsidR="005B4092" w:rsidRPr="00154021" w:rsidRDefault="005B4092" w:rsidP="005B4092">
      <w:pPr>
        <w:widowControl w:val="0"/>
        <w:numPr>
          <w:ilvl w:val="0"/>
          <w:numId w:val="23"/>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14:paraId="1BDDDA1B" w14:textId="77777777" w:rsidR="005B4092" w:rsidRPr="00154021" w:rsidRDefault="005B4092" w:rsidP="005B4092">
      <w:pPr>
        <w:ind w:left="318"/>
        <w:rPr>
          <w:rFonts w:cs="Arial"/>
          <w:sz w:val="24"/>
          <w:szCs w:val="24"/>
        </w:rPr>
      </w:pPr>
    </w:p>
    <w:p w14:paraId="29050FB5" w14:textId="77777777" w:rsidR="005B4092" w:rsidRPr="00154021" w:rsidRDefault="005B4092" w:rsidP="005B4092">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14:paraId="42385AAF" w14:textId="77777777" w:rsidR="005B4092" w:rsidRPr="00154021" w:rsidRDefault="005B4092" w:rsidP="005B4092">
      <w:pPr>
        <w:rPr>
          <w:sz w:val="24"/>
          <w:szCs w:val="24"/>
        </w:rPr>
      </w:pPr>
      <w:r w:rsidRPr="00154021">
        <w:rPr>
          <w:sz w:val="24"/>
          <w:szCs w:val="24"/>
        </w:rPr>
        <w:t xml:space="preserve"> (End of Clause)</w:t>
      </w:r>
    </w:p>
    <w:p w14:paraId="06FBD3CE" w14:textId="77777777" w:rsidR="002B3E31" w:rsidRPr="00710395" w:rsidRDefault="002B3E31" w:rsidP="00F86A2F">
      <w:pPr>
        <w:pStyle w:val="Default"/>
        <w:rPr>
          <w:rFonts w:asciiTheme="minorHAnsi" w:hAnsiTheme="minorHAnsi" w:cs="Times New Roman"/>
        </w:rPr>
      </w:pPr>
    </w:p>
    <w:p w14:paraId="05F92C5A" w14:textId="77777777" w:rsidR="008407F2" w:rsidRPr="00710395" w:rsidRDefault="008407F2" w:rsidP="008407F2">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14:paraId="43273A1C" w14:textId="77777777" w:rsidR="008407F2" w:rsidRPr="00710395" w:rsidRDefault="008407F2" w:rsidP="008407F2">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14:paraId="52ED0D9A"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14:paraId="6B2FA715" w14:textId="77777777" w:rsidR="008407F2" w:rsidRPr="00710395" w:rsidRDefault="008407F2" w:rsidP="008407F2">
      <w:pPr>
        <w:pStyle w:val="Default"/>
        <w:spacing w:line="240" w:lineRule="atLeast"/>
        <w:ind w:left="720" w:right="720"/>
        <w:rPr>
          <w:rFonts w:asciiTheme="minorHAnsi" w:hAnsiTheme="minorHAnsi" w:cs="Times New Roman"/>
        </w:rPr>
      </w:pPr>
    </w:p>
    <w:p w14:paraId="1E29BE2D"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2718D67" w14:textId="77777777" w:rsidR="008407F2" w:rsidRPr="00710395" w:rsidRDefault="008407F2" w:rsidP="008407F2">
      <w:pPr>
        <w:pStyle w:val="Default"/>
        <w:spacing w:line="240" w:lineRule="atLeast"/>
        <w:ind w:left="720" w:right="720"/>
        <w:rPr>
          <w:rFonts w:asciiTheme="minorHAnsi" w:hAnsiTheme="minorHAnsi" w:cs="Times New Roman"/>
        </w:rPr>
      </w:pPr>
    </w:p>
    <w:p w14:paraId="194A8615"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B06890D" w14:textId="77777777" w:rsidR="008407F2" w:rsidRPr="00710395" w:rsidRDefault="008407F2" w:rsidP="008407F2">
      <w:pPr>
        <w:pStyle w:val="Default"/>
        <w:ind w:left="720"/>
        <w:rPr>
          <w:rFonts w:asciiTheme="minorHAnsi" w:hAnsiTheme="minorHAnsi" w:cs="Times New Roman"/>
        </w:rPr>
      </w:pPr>
    </w:p>
    <w:p w14:paraId="24C4A51F" w14:textId="77777777" w:rsidR="008407F2" w:rsidRPr="00710395" w:rsidRDefault="008407F2" w:rsidP="008407F2">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710395">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14:paraId="26FF513B" w14:textId="77777777" w:rsidR="008407F2" w:rsidRPr="00710395" w:rsidRDefault="008407F2" w:rsidP="008407F2">
      <w:pPr>
        <w:pStyle w:val="Default"/>
        <w:ind w:left="720"/>
        <w:rPr>
          <w:rFonts w:asciiTheme="minorHAnsi" w:hAnsiTheme="minorHAnsi" w:cs="Times New Roman"/>
        </w:rPr>
      </w:pPr>
    </w:p>
    <w:p w14:paraId="2BDC1C67" w14:textId="77777777" w:rsidR="008407F2" w:rsidRPr="00710395" w:rsidRDefault="008407F2" w:rsidP="008407F2">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14:paraId="363A5856" w14:textId="77777777" w:rsidR="008407F2" w:rsidRPr="00710395" w:rsidRDefault="008407F2" w:rsidP="008407F2">
      <w:pPr>
        <w:pStyle w:val="CM7"/>
        <w:ind w:left="720" w:right="635"/>
        <w:rPr>
          <w:rFonts w:asciiTheme="minorHAnsi" w:hAnsiTheme="minorHAnsi"/>
        </w:rPr>
      </w:pPr>
      <w:r w:rsidRPr="00710395">
        <w:rPr>
          <w:rFonts w:asciiTheme="minorHAnsi" w:hAnsiTheme="minorHAnsi"/>
        </w:rPr>
        <w:t xml:space="preserve"> </w:t>
      </w:r>
    </w:p>
    <w:p w14:paraId="775BA891" w14:textId="77777777" w:rsidR="008407F2" w:rsidRPr="00710395" w:rsidRDefault="008407F2" w:rsidP="008407F2">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125EADE7" w14:textId="77777777" w:rsidR="008407F2" w:rsidRPr="00710395" w:rsidRDefault="008407F2" w:rsidP="008407F2">
      <w:pPr>
        <w:pStyle w:val="Default"/>
        <w:ind w:left="720"/>
        <w:rPr>
          <w:rFonts w:asciiTheme="minorHAnsi" w:hAnsiTheme="minorHAnsi" w:cs="Times New Roman"/>
        </w:rPr>
      </w:pPr>
    </w:p>
    <w:p w14:paraId="554227B2"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65F9BB04" w14:textId="77777777" w:rsidR="008407F2" w:rsidRPr="00710395" w:rsidRDefault="008407F2" w:rsidP="008407F2">
      <w:pPr>
        <w:pStyle w:val="Default"/>
        <w:rPr>
          <w:rFonts w:asciiTheme="minorHAnsi" w:hAnsiTheme="minorHAnsi" w:cs="Times New Roman"/>
          <w:color w:val="auto"/>
        </w:rPr>
      </w:pPr>
    </w:p>
    <w:p w14:paraId="3888831D" w14:textId="38FF0D8B" w:rsidR="008407F2" w:rsidRPr="00710395" w:rsidRDefault="008407F2" w:rsidP="008407F2">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w:t>
      </w:r>
      <w:r w:rsidR="00444DD5">
        <w:rPr>
          <w:rFonts w:asciiTheme="minorHAnsi" w:hAnsiTheme="minorHAnsi"/>
        </w:rPr>
        <w:t>h</w:t>
      </w:r>
      <w:r w:rsidRPr="00710395">
        <w:rPr>
          <w:rFonts w:asciiTheme="minorHAnsi" w:hAnsiTheme="minorHAnsi"/>
        </w:rPr>
        <w:t>) of this clause.</w:t>
      </w:r>
    </w:p>
    <w:p w14:paraId="681AB045" w14:textId="77777777" w:rsidR="008407F2" w:rsidRPr="00710395" w:rsidRDefault="008407F2" w:rsidP="008407F2">
      <w:pPr>
        <w:pStyle w:val="Default"/>
        <w:ind w:left="720"/>
        <w:rPr>
          <w:rFonts w:asciiTheme="minorHAnsi" w:hAnsiTheme="minorHAnsi" w:cs="Times New Roman"/>
        </w:rPr>
      </w:pPr>
    </w:p>
    <w:p w14:paraId="62E944DF" w14:textId="77777777" w:rsidR="008407F2" w:rsidRPr="00710395" w:rsidRDefault="008407F2" w:rsidP="008407F2">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2A03F7E1" w14:textId="77777777" w:rsidR="008407F2" w:rsidRPr="00710395" w:rsidRDefault="008407F2" w:rsidP="008407F2">
      <w:pPr>
        <w:pStyle w:val="Default"/>
        <w:spacing w:line="240" w:lineRule="atLeast"/>
        <w:ind w:left="720" w:right="253"/>
        <w:rPr>
          <w:rFonts w:asciiTheme="minorHAnsi" w:hAnsiTheme="minorHAnsi" w:cs="Times New Roman"/>
          <w:color w:val="auto"/>
        </w:rPr>
      </w:pPr>
    </w:p>
    <w:p w14:paraId="7549368C" w14:textId="77777777" w:rsidR="008407F2" w:rsidRPr="00710395" w:rsidRDefault="008407F2" w:rsidP="008407F2">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4BE8176"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14:paraId="6B795538" w14:textId="77777777" w:rsidR="008407F2" w:rsidRPr="00710395" w:rsidRDefault="008407F2" w:rsidP="008407F2">
      <w:pPr>
        <w:pStyle w:val="Default"/>
        <w:rPr>
          <w:rFonts w:asciiTheme="minorHAnsi" w:hAnsiTheme="minorHAnsi" w:cs="Times New Roman"/>
          <w:color w:val="auto"/>
        </w:rPr>
      </w:pPr>
    </w:p>
    <w:p w14:paraId="28C73EE1" w14:textId="77777777" w:rsidR="008407F2" w:rsidRPr="00710395" w:rsidRDefault="008407F2" w:rsidP="008407F2">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14:paraId="7EC40930" w14:textId="77777777" w:rsidR="008407F2" w:rsidRPr="00710395" w:rsidRDefault="008407F2" w:rsidP="008407F2">
      <w:pPr>
        <w:pStyle w:val="Default"/>
        <w:ind w:left="720"/>
        <w:rPr>
          <w:rFonts w:asciiTheme="minorHAnsi" w:hAnsiTheme="minorHAnsi" w:cs="Times New Roman"/>
          <w:color w:val="auto"/>
        </w:rPr>
      </w:pPr>
    </w:p>
    <w:p w14:paraId="41A17345" w14:textId="77777777" w:rsidR="008407F2" w:rsidRPr="00710395" w:rsidRDefault="008407F2" w:rsidP="008407F2">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14:paraId="69CFE938" w14:textId="77777777" w:rsidR="008407F2" w:rsidRPr="00710395" w:rsidRDefault="008407F2" w:rsidP="008407F2">
      <w:pPr>
        <w:pStyle w:val="Default"/>
        <w:tabs>
          <w:tab w:val="left" w:pos="1440"/>
          <w:tab w:val="left" w:pos="2160"/>
        </w:tabs>
        <w:rPr>
          <w:rFonts w:asciiTheme="minorHAnsi" w:hAnsiTheme="minorHAnsi" w:cs="Times New Roman"/>
          <w:color w:val="auto"/>
        </w:rPr>
      </w:pPr>
    </w:p>
    <w:p w14:paraId="6832EA4D" w14:textId="77777777" w:rsidR="008407F2" w:rsidRPr="00710395" w:rsidRDefault="008407F2" w:rsidP="008407F2">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14:paraId="04536777" w14:textId="77777777" w:rsidR="008407F2" w:rsidRPr="00710395" w:rsidRDefault="008407F2" w:rsidP="008407F2">
      <w:pPr>
        <w:pStyle w:val="Default"/>
        <w:rPr>
          <w:rFonts w:asciiTheme="minorHAnsi" w:hAnsiTheme="minorHAnsi" w:cs="Times New Roman"/>
          <w:color w:val="auto"/>
        </w:rPr>
      </w:pPr>
    </w:p>
    <w:p w14:paraId="0EB4EB64" w14:textId="77777777" w:rsidR="008407F2" w:rsidRPr="00710395" w:rsidRDefault="008407F2" w:rsidP="008407F2">
      <w:pPr>
        <w:pStyle w:val="CM5"/>
        <w:numPr>
          <w:ilvl w:val="1"/>
          <w:numId w:val="3"/>
        </w:numPr>
        <w:rPr>
          <w:rFonts w:asciiTheme="minorHAnsi" w:hAnsiTheme="minorHAnsi"/>
        </w:rPr>
      </w:pPr>
      <w:r w:rsidRPr="00710395">
        <w:rPr>
          <w:rFonts w:asciiTheme="minorHAnsi" w:hAnsiTheme="minorHAnsi"/>
        </w:rPr>
        <w:t xml:space="preserve">Data delivered under this agreement (except for restricted computer </w:t>
      </w:r>
      <w:r w:rsidRPr="00710395">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14:paraId="4DB726C8" w14:textId="77777777" w:rsidR="008407F2" w:rsidRPr="00710395" w:rsidRDefault="008407F2" w:rsidP="008407F2">
      <w:pPr>
        <w:pStyle w:val="Default"/>
        <w:rPr>
          <w:rFonts w:asciiTheme="minorHAnsi" w:hAnsiTheme="minorHAnsi" w:cs="Times New Roman"/>
        </w:rPr>
      </w:pPr>
    </w:p>
    <w:p w14:paraId="06579D21" w14:textId="1B2C7035" w:rsidR="008407F2" w:rsidRPr="00710395" w:rsidRDefault="008407F2" w:rsidP="008407F2">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w:t>
      </w:r>
      <w:r w:rsidR="00444DD5">
        <w:rPr>
          <w:rFonts w:asciiTheme="minorHAnsi" w:hAnsiTheme="minorHAnsi" w:cs="Times New Roman"/>
          <w:color w:val="auto"/>
        </w:rPr>
        <w:t>h</w:t>
      </w:r>
      <w:r w:rsidRPr="00710395">
        <w:rPr>
          <w:rFonts w:asciiTheme="minorHAnsi" w:hAnsiTheme="minorHAnsi" w:cs="Times New Roman"/>
          <w:color w:val="auto"/>
        </w:rPr>
        <w:t>) of this clause or for limited rights data or restricted computer software in accordance with paragraph (</w:t>
      </w:r>
      <w:r w:rsidR="00444DD5">
        <w:rPr>
          <w:rFonts w:asciiTheme="minorHAnsi" w:hAnsiTheme="minorHAnsi" w:cs="Times New Roman"/>
          <w:color w:val="auto"/>
        </w:rPr>
        <w:t>i</w:t>
      </w:r>
      <w:r w:rsidRPr="00710395">
        <w:rPr>
          <w:rFonts w:asciiTheme="minorHAnsi" w:hAnsiTheme="minorHAnsi" w:cs="Times New Roman"/>
          <w:color w:val="auto"/>
        </w:rPr>
        <w:t>) of this clause.</w:t>
      </w:r>
    </w:p>
    <w:p w14:paraId="6A339FA0" w14:textId="77777777" w:rsidR="008407F2" w:rsidRPr="00710395" w:rsidRDefault="008407F2" w:rsidP="008407F2">
      <w:pPr>
        <w:pStyle w:val="Default"/>
        <w:rPr>
          <w:rFonts w:asciiTheme="minorHAnsi" w:hAnsiTheme="minorHAnsi" w:cs="Times New Roman"/>
          <w:color w:val="auto"/>
        </w:rPr>
      </w:pPr>
    </w:p>
    <w:p w14:paraId="597FB682"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14:paraId="13897CF6"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p>
    <w:p w14:paraId="1C8B93C7" w14:textId="3A433130" w:rsidR="008407F2" w:rsidRPr="00710395" w:rsidRDefault="008407F2" w:rsidP="008407F2">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w:t>
      </w:r>
      <w:r w:rsidR="00444DD5">
        <w:rPr>
          <w:rFonts w:asciiTheme="minorHAnsi" w:hAnsiTheme="minorHAnsi" w:cs="Times New Roman"/>
          <w:color w:val="auto"/>
        </w:rPr>
        <w:t>h</w:t>
      </w:r>
      <w:r w:rsidRPr="00710395">
        <w:rPr>
          <w:rFonts w:asciiTheme="minorHAnsi" w:hAnsiTheme="minorHAnsi" w:cs="Times New Roman"/>
          <w:color w:val="auto"/>
        </w:rPr>
        <w:t>) of this clause;</w:t>
      </w:r>
    </w:p>
    <w:p w14:paraId="31B10BCA" w14:textId="77777777" w:rsidR="008407F2" w:rsidRPr="00710395" w:rsidRDefault="008407F2" w:rsidP="008407F2">
      <w:pPr>
        <w:pStyle w:val="Default"/>
        <w:tabs>
          <w:tab w:val="left" w:pos="2160"/>
        </w:tabs>
        <w:ind w:left="1440"/>
        <w:rPr>
          <w:rFonts w:asciiTheme="minorHAnsi" w:hAnsiTheme="minorHAnsi" w:cs="Times New Roman"/>
          <w:color w:val="auto"/>
        </w:rPr>
      </w:pPr>
    </w:p>
    <w:p w14:paraId="701E1DB2" w14:textId="5285BDC2"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w:t>
      </w:r>
      <w:r w:rsidR="00444DD5">
        <w:rPr>
          <w:rFonts w:asciiTheme="minorHAnsi" w:hAnsiTheme="minorHAnsi" w:cs="Times New Roman"/>
          <w:color w:val="auto"/>
        </w:rPr>
        <w:t>i</w:t>
      </w:r>
      <w:r w:rsidRPr="00710395">
        <w:rPr>
          <w:rFonts w:asciiTheme="minorHAnsi" w:hAnsiTheme="minorHAnsi" w:cs="Times New Roman"/>
          <w:color w:val="auto"/>
        </w:rPr>
        <w:t>) of this clause;</w:t>
      </w:r>
    </w:p>
    <w:p w14:paraId="4E662349" w14:textId="77777777" w:rsidR="008407F2" w:rsidRPr="00710395" w:rsidRDefault="008407F2" w:rsidP="008407F2">
      <w:pPr>
        <w:pStyle w:val="CM7"/>
        <w:ind w:right="635"/>
        <w:rPr>
          <w:rFonts w:asciiTheme="minorHAnsi" w:hAnsiTheme="minorHAnsi"/>
        </w:rPr>
      </w:pPr>
    </w:p>
    <w:p w14:paraId="3F647778" w14:textId="77777777" w:rsidR="008407F2" w:rsidRPr="00710395" w:rsidRDefault="008407F2" w:rsidP="008407F2">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14:paraId="0C48092B" w14:textId="77777777" w:rsidR="008407F2" w:rsidRPr="00710395" w:rsidRDefault="008407F2" w:rsidP="008407F2">
      <w:pPr>
        <w:pStyle w:val="Default"/>
        <w:ind w:left="1440"/>
        <w:rPr>
          <w:rFonts w:asciiTheme="minorHAnsi" w:hAnsiTheme="minorHAnsi" w:cs="Times New Roman"/>
        </w:rPr>
      </w:pPr>
    </w:p>
    <w:p w14:paraId="4294708A"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3AE47A2" w14:textId="77777777" w:rsidR="008407F2" w:rsidRPr="00710395" w:rsidRDefault="008407F2" w:rsidP="008407F2">
      <w:pPr>
        <w:pStyle w:val="Default"/>
        <w:rPr>
          <w:rFonts w:asciiTheme="minorHAnsi" w:hAnsiTheme="minorHAnsi" w:cs="Times New Roman"/>
          <w:color w:val="auto"/>
        </w:rPr>
      </w:pPr>
    </w:p>
    <w:p w14:paraId="5FFEE219"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14:paraId="5034C787" w14:textId="77777777" w:rsidR="008407F2" w:rsidRPr="00710395" w:rsidRDefault="008407F2" w:rsidP="008407F2">
      <w:pPr>
        <w:pStyle w:val="Default"/>
        <w:rPr>
          <w:rFonts w:asciiTheme="minorHAnsi" w:hAnsiTheme="minorHAnsi" w:cs="Times New Roman"/>
          <w:color w:val="auto"/>
        </w:rPr>
      </w:pPr>
    </w:p>
    <w:p w14:paraId="13D755D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4705041A" w14:textId="77777777" w:rsidR="008407F2" w:rsidRPr="00710395" w:rsidRDefault="008407F2" w:rsidP="008407F2">
      <w:pPr>
        <w:pStyle w:val="Default"/>
        <w:ind w:left="1440" w:hanging="720"/>
        <w:rPr>
          <w:rFonts w:asciiTheme="minorHAnsi" w:hAnsiTheme="minorHAnsi" w:cs="Times New Roman"/>
          <w:color w:val="auto"/>
        </w:rPr>
      </w:pPr>
    </w:p>
    <w:p w14:paraId="267B41F9" w14:textId="3FE87370"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(2)</w:t>
      </w:r>
      <w:r w:rsidRPr="00710395">
        <w:rPr>
          <w:rFonts w:asciiTheme="minorHAnsi" w:hAnsiTheme="minorHAnsi" w:cs="Times New Roman"/>
          <w:color w:val="auto"/>
        </w:rPr>
        <w:tab/>
        <w:t>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r w:rsidR="00444DD5">
        <w:rPr>
          <w:rFonts w:asciiTheme="minorHAnsi" w:hAnsiTheme="minorHAnsi" w:cs="Times New Roman"/>
          <w:color w:val="auto"/>
        </w:rPr>
        <w:t>i</w:t>
      </w:r>
      <w:r w:rsidRPr="00710395">
        <w:rPr>
          <w:rFonts w:asciiTheme="minorHAnsi" w:hAnsiTheme="minorHAnsi" w:cs="Times New Roman"/>
          <w:color w:val="auto"/>
        </w:rPr>
        <w:t xml:space="preserve">)(3) of this clause if included in this agreement or as otherwise may be provided in a collateral agreement incorporated or made a part of this agreement. </w:t>
      </w:r>
    </w:p>
    <w:p w14:paraId="619EAFD7" w14:textId="77777777" w:rsidR="008407F2" w:rsidRPr="00710395" w:rsidRDefault="008407F2" w:rsidP="008407F2">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14:paraId="1FCCC8C3" w14:textId="77777777" w:rsidR="008407F2" w:rsidRPr="00710395" w:rsidRDefault="008407F2" w:rsidP="008407F2">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E3EABC6" w14:textId="77777777" w:rsidR="008407F2" w:rsidRPr="00710395" w:rsidRDefault="008407F2" w:rsidP="008407F2">
      <w:pPr>
        <w:pStyle w:val="Default"/>
        <w:ind w:left="720"/>
        <w:rPr>
          <w:rFonts w:asciiTheme="minorHAnsi" w:hAnsiTheme="minorHAnsi" w:cs="Times New Roman"/>
          <w:color w:val="auto"/>
        </w:rPr>
      </w:pPr>
    </w:p>
    <w:p w14:paraId="1550709F" w14:textId="77777777" w:rsidR="008407F2" w:rsidRPr="00710395" w:rsidRDefault="008407F2" w:rsidP="008407F2">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14:paraId="49FD4540" w14:textId="77777777" w:rsidR="008407F2" w:rsidRPr="00710395" w:rsidRDefault="008407F2" w:rsidP="008407F2">
      <w:pPr>
        <w:pStyle w:val="Default"/>
        <w:rPr>
          <w:rFonts w:asciiTheme="minorHAnsi" w:hAnsiTheme="minorHAnsi" w:cs="Times New Roman"/>
          <w:color w:val="auto"/>
        </w:rPr>
      </w:pPr>
    </w:p>
    <w:p w14:paraId="145678A7"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45F4E52" w14:textId="77777777" w:rsidR="008407F2" w:rsidRPr="00710395" w:rsidRDefault="008407F2" w:rsidP="008407F2">
      <w:pPr>
        <w:pStyle w:val="Default"/>
        <w:ind w:left="720"/>
        <w:rPr>
          <w:rFonts w:asciiTheme="minorHAnsi" w:hAnsiTheme="minorHAnsi" w:cs="Times New Roman"/>
          <w:color w:val="auto"/>
        </w:rPr>
      </w:pPr>
    </w:p>
    <w:p w14:paraId="674C8DB5" w14:textId="77777777" w:rsidR="008407F2"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EE5447F" w14:textId="77777777" w:rsidR="008407F2" w:rsidRDefault="008407F2" w:rsidP="008407F2">
      <w:pPr>
        <w:pStyle w:val="Default"/>
        <w:ind w:left="1440" w:hanging="720"/>
        <w:rPr>
          <w:rFonts w:asciiTheme="minorHAnsi" w:hAnsiTheme="minorHAnsi" w:cs="Times New Roman"/>
          <w:color w:val="auto"/>
        </w:rPr>
      </w:pPr>
    </w:p>
    <w:p w14:paraId="3C81C3FB" w14:textId="72B5141E" w:rsidR="008407F2" w:rsidRDefault="008407F2" w:rsidP="008407F2">
      <w:pPr>
        <w:pStyle w:val="Default"/>
        <w:numPr>
          <w:ilvl w:val="0"/>
          <w:numId w:val="36"/>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59485A29" w14:textId="77777777" w:rsidR="008407F2" w:rsidRDefault="008407F2" w:rsidP="008407F2">
      <w:pPr>
        <w:pStyle w:val="Default"/>
        <w:ind w:left="1080"/>
        <w:rPr>
          <w:rFonts w:asciiTheme="minorHAnsi" w:hAnsiTheme="minorHAnsi" w:cs="Times New Roman"/>
          <w:color w:val="auto"/>
        </w:rPr>
      </w:pPr>
    </w:p>
    <w:p w14:paraId="560BD961" w14:textId="77777777" w:rsidR="0027481D" w:rsidRDefault="008407F2" w:rsidP="008407F2">
      <w:pPr>
        <w:pStyle w:val="Default"/>
        <w:ind w:left="1080"/>
        <w:rPr>
          <w:rFonts w:asciiTheme="minorHAnsi" w:hAnsiTheme="minorHAnsi" w:cs="Times New Roman"/>
          <w:color w:val="auto"/>
        </w:rPr>
      </w:pPr>
      <w:r>
        <w:rPr>
          <w:rFonts w:asciiTheme="minorHAnsi" w:hAnsiTheme="minorHAnsi" w:cs="Times New Roman"/>
          <w:color w:val="auto"/>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w:t>
      </w:r>
      <w:r w:rsidR="00BE6ADC">
        <w:rPr>
          <w:rFonts w:asciiTheme="minorHAnsi" w:hAnsiTheme="minorHAnsi" w:cs="Times New Roman"/>
          <w:color w:val="auto"/>
        </w:rPr>
        <w:t xml:space="preserve"> sets</w:t>
      </w:r>
      <w:r>
        <w:rPr>
          <w:rFonts w:asciiTheme="minorHAnsi" w:hAnsiTheme="minorHAnsi" w:cs="Times New Roman"/>
          <w:color w:val="auto"/>
        </w:rPr>
        <w:t xml:space="preserve">. The Commercialization Plan is included in this Attachment 2 as an ADDENDUM and is an enforceable part of this Agreement. </w:t>
      </w:r>
    </w:p>
    <w:p w14:paraId="3A7945F7" w14:textId="77777777" w:rsidR="0027481D" w:rsidRDefault="0027481D" w:rsidP="008407F2">
      <w:pPr>
        <w:pStyle w:val="Default"/>
        <w:ind w:left="1080"/>
        <w:rPr>
          <w:rFonts w:asciiTheme="minorHAnsi" w:hAnsiTheme="minorHAnsi" w:cs="Times New Roman"/>
          <w:color w:val="auto"/>
        </w:rPr>
      </w:pPr>
    </w:p>
    <w:p w14:paraId="47B7B8E7" w14:textId="1F9F39CE" w:rsidR="008407F2" w:rsidRDefault="0027481D" w:rsidP="008407F2">
      <w:pPr>
        <w:pStyle w:val="Default"/>
        <w:ind w:left="1080"/>
        <w:rPr>
          <w:rFonts w:asciiTheme="minorHAnsi" w:hAnsiTheme="minorHAnsi" w:cs="Times New Roman"/>
          <w:color w:val="auto"/>
        </w:rPr>
      </w:pPr>
      <w:r>
        <w:rPr>
          <w:rFonts w:asciiTheme="minorHAnsi" w:hAnsiTheme="minorHAnsi" w:cs="Times New Roman"/>
          <w:color w:val="auto"/>
        </w:rPr>
        <w:lastRenderedPageBreak/>
        <w:t>The Commercialization Plan shall include:</w:t>
      </w:r>
    </w:p>
    <w:p w14:paraId="6E3D3FDF" w14:textId="77777777" w:rsidR="008407F2" w:rsidRDefault="008407F2" w:rsidP="008407F2">
      <w:pPr>
        <w:pStyle w:val="Default"/>
        <w:ind w:left="540"/>
        <w:rPr>
          <w:rFonts w:asciiTheme="minorHAnsi" w:hAnsiTheme="minorHAnsi" w:cs="Times New Roman"/>
          <w:color w:val="auto"/>
        </w:rPr>
      </w:pPr>
    </w:p>
    <w:p w14:paraId="4302EBB5" w14:textId="72D2803F"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a listing and brief description of the specified computer software and data sets that will be the subject of the commitments made by the Recipient under the Commercialization Plan;</w:t>
      </w:r>
      <w:r w:rsidRPr="009A3B01">
        <w:rPr>
          <w:rFonts w:asciiTheme="minorHAnsi" w:hAnsiTheme="minorHAnsi" w:cs="Times New Roman"/>
          <w:color w:val="auto"/>
        </w:rPr>
        <w:t xml:space="preserve"> </w:t>
      </w:r>
    </w:p>
    <w:p w14:paraId="621945AC"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7E92C194"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5F1952C2" w14:textId="1C6EC566" w:rsidR="0027481D" w:rsidRPr="00264BF1" w:rsidRDefault="0027481D" w:rsidP="0027481D">
      <w:pPr>
        <w:pStyle w:val="Default"/>
        <w:numPr>
          <w:ilvl w:val="0"/>
          <w:numId w:val="37"/>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8C484C">
        <w:rPr>
          <w:rFonts w:asciiTheme="minorHAnsi" w:hAnsiTheme="minorHAnsi" w:cs="Times New Roman"/>
          <w:color w:val="auto"/>
        </w:rPr>
        <w:t>five</w:t>
      </w:r>
      <w:r w:rsidR="008C484C" w:rsidRPr="00264BF1">
        <w:rPr>
          <w:rFonts w:asciiTheme="minorHAnsi" w:hAnsiTheme="minorHAnsi" w:cs="Times New Roman"/>
          <w:color w:val="auto"/>
        </w:rPr>
        <w:t xml:space="preserve"> </w:t>
      </w:r>
      <w:r w:rsidRPr="00264BF1">
        <w:rPr>
          <w:rFonts w:asciiTheme="minorHAnsi" w:hAnsiTheme="minorHAnsi" w:cs="Times New Roman"/>
          <w:color w:val="auto"/>
        </w:rPr>
        <w:t>(</w:t>
      </w:r>
      <w:r w:rsidR="008C484C">
        <w:rPr>
          <w:rFonts w:asciiTheme="minorHAnsi" w:hAnsiTheme="minorHAnsi" w:cs="Times New Roman"/>
          <w:color w:val="auto"/>
        </w:rPr>
        <w:t>5</w:t>
      </w:r>
      <w:r w:rsidRPr="00264BF1">
        <w:rPr>
          <w:rFonts w:asciiTheme="minorHAnsi" w:hAnsiTheme="minorHAnsi" w:cs="Times New Roman"/>
          <w:color w:val="auto"/>
        </w:rPr>
        <w:t xml:space="preserve">)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0AF6618" w14:textId="77777777" w:rsidR="0027481D" w:rsidRDefault="0027481D" w:rsidP="0027481D">
      <w:pPr>
        <w:widowControl w:val="0"/>
        <w:autoSpaceDE w:val="0"/>
        <w:autoSpaceDN w:val="0"/>
        <w:adjustRightInd w:val="0"/>
        <w:spacing w:after="0" w:line="240" w:lineRule="auto"/>
        <w:ind w:left="1440"/>
        <w:rPr>
          <w:rFonts w:cs="Times New Roman"/>
        </w:rPr>
      </w:pPr>
    </w:p>
    <w:p w14:paraId="23EC716D"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40C819B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5790823C"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w:t>
      </w:r>
      <w:r w:rsidRPr="00E6799B">
        <w:rPr>
          <w:rFonts w:eastAsia="Times New Roman" w:cs="Times New Roman"/>
          <w:sz w:val="24"/>
          <w:szCs w:val="24"/>
        </w:rPr>
        <w:lastRenderedPageBreak/>
        <w:t xml:space="preserve">may be granted by ARPA-E in its sole discretion. However, if a waiver is granted, the Government license shall be as set forth in paragraph (c)(1). Additionally, a Recipient may petition ARPA-E to revise the Commercialization Plan at any time. Such a petition must include sufficient written justification to support the revision. The granting of such a petition is at ARPA-E’s sole discretion. </w:t>
      </w:r>
    </w:p>
    <w:p w14:paraId="5DE12D6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2298DBE9"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79212775" w14:textId="24073181" w:rsidR="008407F2" w:rsidRPr="00710395" w:rsidRDefault="008407F2" w:rsidP="0027481D">
      <w:pPr>
        <w:pStyle w:val="Default"/>
        <w:ind w:left="1080"/>
        <w:rPr>
          <w:rFonts w:asciiTheme="minorHAnsi" w:hAnsiTheme="minorHAnsi" w:cs="Times New Roman"/>
          <w:color w:val="auto"/>
        </w:rPr>
      </w:pPr>
    </w:p>
    <w:p w14:paraId="07F3AC97" w14:textId="77777777" w:rsidR="008407F2" w:rsidRPr="00710395" w:rsidRDefault="008407F2" w:rsidP="008407F2">
      <w:pPr>
        <w:pStyle w:val="Default"/>
        <w:numPr>
          <w:ilvl w:val="0"/>
          <w:numId w:val="33"/>
        </w:numPr>
        <w:ind w:left="720" w:hanging="720"/>
        <w:rPr>
          <w:rFonts w:asciiTheme="minorHAnsi" w:hAnsiTheme="minorHAnsi" w:cs="Times New Roman"/>
          <w:color w:val="auto"/>
        </w:rPr>
      </w:pPr>
      <w:r w:rsidRPr="00710395">
        <w:rPr>
          <w:rFonts w:asciiTheme="minorHAnsi" w:hAnsiTheme="minorHAnsi" w:cs="Times New Roman"/>
          <w:color w:val="auto"/>
        </w:rPr>
        <w:t>Unauthorized Marking of Data</w:t>
      </w:r>
    </w:p>
    <w:p w14:paraId="2A30E4B7" w14:textId="77777777" w:rsidR="008407F2" w:rsidRPr="00710395" w:rsidRDefault="008407F2" w:rsidP="008407F2">
      <w:pPr>
        <w:pStyle w:val="Default"/>
        <w:rPr>
          <w:rFonts w:asciiTheme="minorHAnsi" w:hAnsiTheme="minorHAnsi" w:cs="Times New Roman"/>
          <w:color w:val="auto"/>
        </w:rPr>
      </w:pPr>
    </w:p>
    <w:p w14:paraId="30C2FB60" w14:textId="77777777" w:rsidR="008407F2" w:rsidRPr="00710395" w:rsidRDefault="008407F2" w:rsidP="008407F2">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33262DF" w14:textId="77777777" w:rsidR="008407F2" w:rsidRPr="00710395" w:rsidRDefault="008407F2" w:rsidP="008407F2">
      <w:pPr>
        <w:pStyle w:val="Default"/>
        <w:tabs>
          <w:tab w:val="left" w:pos="630"/>
        </w:tabs>
        <w:ind w:left="1440" w:hanging="720"/>
        <w:rPr>
          <w:rFonts w:asciiTheme="minorHAnsi" w:hAnsiTheme="minorHAnsi" w:cs="Times New Roman"/>
          <w:color w:val="auto"/>
        </w:rPr>
      </w:pPr>
    </w:p>
    <w:p w14:paraId="7F07EC69"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6E056B75" w14:textId="77777777" w:rsidR="008407F2" w:rsidRPr="00710395" w:rsidRDefault="008407F2" w:rsidP="008407F2">
      <w:pPr>
        <w:pStyle w:val="Default"/>
        <w:ind w:left="2880"/>
        <w:rPr>
          <w:rFonts w:asciiTheme="minorHAnsi" w:hAnsiTheme="minorHAnsi" w:cs="Times New Roman"/>
          <w:color w:val="auto"/>
        </w:rPr>
      </w:pPr>
    </w:p>
    <w:p w14:paraId="60F85652"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32147A81" w14:textId="77777777" w:rsidR="008407F2" w:rsidRPr="00710395" w:rsidRDefault="008407F2" w:rsidP="008407F2">
      <w:pPr>
        <w:pStyle w:val="Default"/>
        <w:rPr>
          <w:rFonts w:asciiTheme="minorHAnsi" w:hAnsiTheme="minorHAnsi" w:cs="Times New Roman"/>
          <w:color w:val="auto"/>
        </w:rPr>
      </w:pPr>
    </w:p>
    <w:p w14:paraId="56AC8439" w14:textId="32650E94" w:rsidR="008407F2" w:rsidRPr="00710395" w:rsidRDefault="008407F2" w:rsidP="008407F2">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 xml:space="preserve">If the Recipient provides written justification to substantiate the propriety of the markings within </w:t>
      </w:r>
      <w:r>
        <w:rPr>
          <w:rFonts w:asciiTheme="minorHAnsi" w:hAnsiTheme="minorHAnsi"/>
        </w:rPr>
        <w:t>the period set in subdivision (f</w:t>
      </w:r>
      <w:r w:rsidRPr="00710395">
        <w:rPr>
          <w:rFonts w:asciiTheme="minorHAnsi" w:hAnsiTheme="minorHAnsi"/>
        </w:rPr>
        <w:t xml:space="preserv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t>
      </w:r>
      <w:r w:rsidRPr="00710395">
        <w:rPr>
          <w:rFonts w:asciiTheme="minorHAnsi" w:hAnsiTheme="minorHAnsi"/>
        </w:rPr>
        <w:lastRenderedPageBreak/>
        <w:t>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w:t>
      </w:r>
      <w:r>
        <w:rPr>
          <w:rFonts w:asciiTheme="minorHAnsi" w:hAnsiTheme="minorHAnsi"/>
        </w:rPr>
        <w:t>rkings under this subdivision (f</w:t>
      </w:r>
      <w:r w:rsidRPr="00710395">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335964FC" w14:textId="77777777" w:rsidR="008407F2" w:rsidRPr="00710395" w:rsidRDefault="008407F2" w:rsidP="008407F2">
      <w:pPr>
        <w:pStyle w:val="Default"/>
        <w:rPr>
          <w:rFonts w:asciiTheme="minorHAnsi" w:hAnsiTheme="minorHAnsi" w:cs="Times New Roman"/>
          <w:color w:val="auto"/>
        </w:rPr>
      </w:pPr>
    </w:p>
    <w:p w14:paraId="0783EF11" w14:textId="69ED1BBB" w:rsidR="008407F2" w:rsidRPr="00710395" w:rsidRDefault="008407F2" w:rsidP="008407F2">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time limits in the procedu</w:t>
      </w:r>
      <w:r>
        <w:rPr>
          <w:rFonts w:asciiTheme="minorHAnsi" w:hAnsiTheme="minorHAnsi" w:cs="Times New Roman"/>
          <w:color w:val="auto"/>
        </w:rPr>
        <w:t>res set forth in subparagraph (f</w:t>
      </w:r>
      <w:r w:rsidRPr="00710395">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6B7718A5" w14:textId="77777777" w:rsidR="008407F2" w:rsidRPr="00710395" w:rsidRDefault="008407F2" w:rsidP="008407F2">
      <w:pPr>
        <w:pStyle w:val="Default"/>
        <w:rPr>
          <w:rFonts w:asciiTheme="minorHAnsi" w:hAnsiTheme="minorHAnsi" w:cs="Times New Roman"/>
          <w:color w:val="auto"/>
        </w:rPr>
      </w:pPr>
    </w:p>
    <w:p w14:paraId="52F957FE"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Omitted or Incorrect Markings</w:t>
      </w:r>
    </w:p>
    <w:p w14:paraId="42B19466" w14:textId="77777777" w:rsidR="008407F2" w:rsidRPr="00710395" w:rsidRDefault="008407F2" w:rsidP="008407F2">
      <w:pPr>
        <w:pStyle w:val="Default"/>
        <w:rPr>
          <w:rFonts w:asciiTheme="minorHAnsi" w:hAnsiTheme="minorHAnsi" w:cs="Times New Roman"/>
          <w:color w:val="auto"/>
        </w:rPr>
      </w:pPr>
    </w:p>
    <w:p w14:paraId="3196E0D3" w14:textId="68A0E34E"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Data delivered to the Government without either the limited rights or restricted rights noti</w:t>
      </w:r>
      <w:r>
        <w:rPr>
          <w:rFonts w:asciiTheme="minorHAnsi" w:hAnsiTheme="minorHAnsi" w:cs="Times New Roman"/>
          <w:color w:val="auto"/>
        </w:rPr>
        <w:t>ce as authorized by paragraph (i</w:t>
      </w:r>
      <w:r w:rsidRPr="00710395">
        <w:rPr>
          <w:rFonts w:asciiTheme="minorHAnsi" w:hAnsiTheme="minorHAnsi" w:cs="Times New Roman"/>
          <w:color w:val="auto"/>
        </w:rPr>
        <w:t>) of this clause, the protected data noti</w:t>
      </w:r>
      <w:r>
        <w:rPr>
          <w:rFonts w:asciiTheme="minorHAnsi" w:hAnsiTheme="minorHAnsi" w:cs="Times New Roman"/>
          <w:color w:val="auto"/>
        </w:rPr>
        <w:t>ce as authorized in paragraph (h</w:t>
      </w:r>
      <w:r w:rsidRPr="00710395">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14:paraId="043BDB58" w14:textId="77777777" w:rsidR="008407F2" w:rsidRPr="00710395" w:rsidRDefault="008407F2" w:rsidP="008407F2">
      <w:pPr>
        <w:pStyle w:val="Default"/>
        <w:ind w:left="1080"/>
        <w:rPr>
          <w:rFonts w:asciiTheme="minorHAnsi" w:hAnsiTheme="minorHAnsi" w:cs="Times New Roman"/>
          <w:color w:val="auto"/>
        </w:rPr>
      </w:pPr>
    </w:p>
    <w:p w14:paraId="075A668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14:paraId="321C45A6" w14:textId="77777777" w:rsidR="008407F2" w:rsidRPr="00710395" w:rsidRDefault="008407F2" w:rsidP="008407F2">
      <w:pPr>
        <w:pStyle w:val="Default"/>
        <w:ind w:left="1440"/>
        <w:rPr>
          <w:rFonts w:asciiTheme="minorHAnsi" w:hAnsiTheme="minorHAnsi" w:cs="Times New Roman"/>
          <w:color w:val="auto"/>
        </w:rPr>
      </w:pPr>
    </w:p>
    <w:p w14:paraId="01A8CDC5" w14:textId="77777777" w:rsidR="008407F2" w:rsidRPr="00710395" w:rsidRDefault="008407F2" w:rsidP="008407F2">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14:paraId="43EAB796" w14:textId="77777777" w:rsidR="008407F2" w:rsidRPr="00710395" w:rsidRDefault="008407F2" w:rsidP="008407F2">
      <w:pPr>
        <w:pStyle w:val="Default"/>
        <w:rPr>
          <w:rFonts w:asciiTheme="minorHAnsi" w:hAnsiTheme="minorHAnsi" w:cs="Times New Roman"/>
          <w:color w:val="auto"/>
        </w:rPr>
      </w:pPr>
    </w:p>
    <w:p w14:paraId="1E91D81A"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14:paraId="5C1C1DE2" w14:textId="77777777" w:rsidR="008407F2" w:rsidRPr="00710395" w:rsidRDefault="008407F2" w:rsidP="008407F2">
      <w:pPr>
        <w:pStyle w:val="Default"/>
        <w:ind w:left="1440"/>
        <w:rPr>
          <w:rFonts w:asciiTheme="minorHAnsi" w:hAnsiTheme="minorHAnsi" w:cs="Times New Roman"/>
          <w:color w:val="auto"/>
        </w:rPr>
      </w:pPr>
    </w:p>
    <w:p w14:paraId="3DB3490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205A142" w14:textId="77777777" w:rsidR="008407F2" w:rsidRPr="00710395" w:rsidRDefault="008407F2" w:rsidP="008407F2">
      <w:pPr>
        <w:pStyle w:val="Default"/>
        <w:rPr>
          <w:rFonts w:asciiTheme="minorHAnsi" w:hAnsiTheme="minorHAnsi" w:cs="Times New Roman"/>
          <w:color w:val="auto"/>
        </w:rPr>
      </w:pPr>
    </w:p>
    <w:p w14:paraId="4D08234A" w14:textId="77777777"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14:paraId="4C3E9E35" w14:textId="77777777" w:rsidR="008407F2" w:rsidRPr="00710395" w:rsidRDefault="008407F2" w:rsidP="008407F2">
      <w:pPr>
        <w:pStyle w:val="Default"/>
        <w:ind w:left="1080"/>
        <w:rPr>
          <w:rFonts w:asciiTheme="minorHAnsi" w:hAnsiTheme="minorHAnsi" w:cs="Times New Roman"/>
          <w:color w:val="auto"/>
        </w:rPr>
      </w:pPr>
    </w:p>
    <w:p w14:paraId="1948264E"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Permit correction at the Recipient's expense of incorrect notices if the </w:t>
      </w:r>
      <w:r w:rsidRPr="00710395">
        <w:rPr>
          <w:rFonts w:asciiTheme="minorHAnsi" w:hAnsiTheme="minorHAnsi" w:cs="Times New Roman"/>
          <w:color w:val="auto"/>
        </w:rPr>
        <w:lastRenderedPageBreak/>
        <w:t>Recipient identifies the data on which correction of the notice is to be made, and demonstrates that the correct notice is authorized; or</w:t>
      </w:r>
    </w:p>
    <w:p w14:paraId="7FF24A03" w14:textId="77777777" w:rsidR="008407F2" w:rsidRPr="00710395" w:rsidRDefault="008407F2" w:rsidP="008407F2">
      <w:pPr>
        <w:pStyle w:val="Default"/>
        <w:rPr>
          <w:rFonts w:asciiTheme="minorHAnsi" w:hAnsiTheme="minorHAnsi" w:cs="Times New Roman"/>
          <w:color w:val="auto"/>
        </w:rPr>
      </w:pPr>
    </w:p>
    <w:p w14:paraId="0D0E4077"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14:paraId="76CBD3F1" w14:textId="77777777" w:rsidR="008407F2" w:rsidRPr="00710395" w:rsidRDefault="008407F2" w:rsidP="008407F2">
      <w:pPr>
        <w:pStyle w:val="Default"/>
        <w:ind w:left="1440"/>
        <w:rPr>
          <w:rFonts w:asciiTheme="minorHAnsi" w:hAnsiTheme="minorHAnsi" w:cs="Times New Roman"/>
          <w:color w:val="auto"/>
        </w:rPr>
      </w:pPr>
    </w:p>
    <w:p w14:paraId="048EC608"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14:paraId="744FCF95" w14:textId="77777777" w:rsidR="008407F2" w:rsidRPr="00710395" w:rsidRDefault="008407F2" w:rsidP="008407F2">
      <w:pPr>
        <w:pStyle w:val="Default"/>
        <w:ind w:left="360"/>
        <w:rPr>
          <w:rFonts w:asciiTheme="minorHAnsi" w:hAnsiTheme="minorHAnsi" w:cs="Times New Roman"/>
          <w:color w:val="auto"/>
        </w:rPr>
      </w:pPr>
    </w:p>
    <w:p w14:paraId="34DB8D8D" w14:textId="64FDCF04"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w:t>
      </w:r>
      <w:r>
        <w:rPr>
          <w:rFonts w:asciiTheme="minorHAnsi" w:hAnsiTheme="minorHAnsi" w:cs="Times New Roman"/>
          <w:color w:val="auto"/>
        </w:rPr>
        <w:t>agraphs (f) and (g</w:t>
      </w:r>
      <w:r w:rsidRPr="00710395">
        <w:rPr>
          <w:rFonts w:asciiTheme="minorHAnsi" w:hAnsiTheme="minorHAnsi" w:cs="Times New Roman"/>
          <w:color w:val="auto"/>
        </w:rPr>
        <w:t xml:space="preserve">) of this clause. </w:t>
      </w:r>
    </w:p>
    <w:p w14:paraId="65D22EF7" w14:textId="77777777" w:rsidR="008407F2" w:rsidRPr="00710395" w:rsidRDefault="008407F2" w:rsidP="008407F2">
      <w:pPr>
        <w:pStyle w:val="Default"/>
        <w:rPr>
          <w:rFonts w:asciiTheme="minorHAnsi" w:hAnsiTheme="minorHAnsi" w:cs="Times New Roman"/>
          <w:color w:val="auto"/>
        </w:rPr>
      </w:pPr>
    </w:p>
    <w:p w14:paraId="4B60A447" w14:textId="77777777" w:rsidR="008407F2" w:rsidRPr="00710395" w:rsidRDefault="008407F2" w:rsidP="008407F2">
      <w:pPr>
        <w:pStyle w:val="CM16"/>
        <w:spacing w:line="240" w:lineRule="atLeast"/>
        <w:ind w:left="2160"/>
        <w:rPr>
          <w:rFonts w:asciiTheme="minorHAnsi" w:hAnsiTheme="minorHAnsi"/>
        </w:rPr>
      </w:pPr>
      <w:r w:rsidRPr="00710395">
        <w:rPr>
          <w:rFonts w:asciiTheme="minorHAnsi" w:hAnsiTheme="minorHAnsi"/>
        </w:rPr>
        <w:t>PROTECTED RIGHTS NOTICE</w:t>
      </w:r>
    </w:p>
    <w:p w14:paraId="558B1CDF" w14:textId="77777777" w:rsidR="008407F2" w:rsidRPr="00710395" w:rsidRDefault="008407F2" w:rsidP="008407F2">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4DF7220"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14:paraId="1B2A0AAC" w14:textId="77777777" w:rsidR="008407F2" w:rsidRPr="00710395" w:rsidRDefault="008407F2" w:rsidP="008407F2">
      <w:pPr>
        <w:pStyle w:val="Default"/>
        <w:ind w:left="720"/>
        <w:rPr>
          <w:rFonts w:asciiTheme="minorHAnsi" w:hAnsiTheme="minorHAnsi" w:cs="Times New Roman"/>
          <w:color w:val="auto"/>
        </w:rPr>
      </w:pPr>
    </w:p>
    <w:p w14:paraId="36E8222E"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14:paraId="0274134F" w14:textId="77777777" w:rsidR="008407F2" w:rsidRPr="00710395" w:rsidRDefault="008407F2" w:rsidP="008407F2">
      <w:pPr>
        <w:pStyle w:val="Default"/>
        <w:rPr>
          <w:rFonts w:asciiTheme="minorHAnsi" w:hAnsiTheme="minorHAnsi" w:cs="Times New Roman"/>
          <w:color w:val="auto"/>
        </w:rPr>
      </w:pPr>
    </w:p>
    <w:p w14:paraId="3A1573F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640DF83C"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 xml:space="preserve"> </w:t>
      </w:r>
    </w:p>
    <w:p w14:paraId="06F9072B"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14:paraId="1A94A948" w14:textId="77777777" w:rsidR="008407F2" w:rsidRPr="00710395" w:rsidRDefault="008407F2" w:rsidP="008407F2">
      <w:pPr>
        <w:pStyle w:val="Default"/>
        <w:ind w:left="720" w:hanging="720"/>
        <w:rPr>
          <w:rFonts w:asciiTheme="minorHAnsi" w:hAnsiTheme="minorHAnsi" w:cs="Times New Roman"/>
          <w:color w:val="auto"/>
        </w:rPr>
      </w:pPr>
    </w:p>
    <w:p w14:paraId="542EEC86"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14:paraId="2734A174" w14:textId="77777777" w:rsidR="008407F2" w:rsidRPr="00710395" w:rsidRDefault="008407F2" w:rsidP="008407F2">
      <w:pPr>
        <w:pStyle w:val="Default"/>
        <w:rPr>
          <w:rFonts w:asciiTheme="minorHAnsi" w:hAnsiTheme="minorHAnsi" w:cs="Times New Roman"/>
          <w:color w:val="auto"/>
        </w:rPr>
      </w:pPr>
    </w:p>
    <w:p w14:paraId="2922B1A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lastRenderedPageBreak/>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33059388" w14:textId="77777777" w:rsidR="008407F2" w:rsidRPr="00710395" w:rsidRDefault="008407F2" w:rsidP="008407F2">
      <w:pPr>
        <w:pStyle w:val="Default"/>
        <w:ind w:left="1440" w:hanging="720"/>
        <w:rPr>
          <w:rFonts w:asciiTheme="minorHAnsi" w:hAnsiTheme="minorHAnsi" w:cs="Times New Roman"/>
          <w:color w:val="auto"/>
        </w:rPr>
      </w:pPr>
    </w:p>
    <w:p w14:paraId="77F98FA9"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3C093CA2" w14:textId="77777777" w:rsidR="008407F2" w:rsidRPr="00710395" w:rsidRDefault="008407F2" w:rsidP="008407F2">
      <w:pPr>
        <w:pStyle w:val="Default"/>
        <w:ind w:left="1440" w:hanging="720"/>
        <w:rPr>
          <w:rFonts w:asciiTheme="minorHAnsi" w:hAnsiTheme="minorHAnsi" w:cs="Times New Roman"/>
          <w:color w:val="auto"/>
        </w:rPr>
      </w:pPr>
    </w:p>
    <w:p w14:paraId="4967DE9B" w14:textId="77777777" w:rsidR="008407F2" w:rsidRPr="00710395" w:rsidRDefault="008407F2" w:rsidP="008407F2">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14:paraId="30D3AC4A" w14:textId="77777777" w:rsidR="008407F2" w:rsidRPr="00710395" w:rsidRDefault="008407F2" w:rsidP="008407F2">
      <w:pPr>
        <w:pStyle w:val="Default"/>
        <w:ind w:left="1440"/>
        <w:rPr>
          <w:rFonts w:asciiTheme="minorHAnsi" w:hAnsiTheme="minorHAnsi" w:cs="Times New Roman"/>
          <w:color w:val="auto"/>
        </w:rPr>
      </w:pPr>
    </w:p>
    <w:p w14:paraId="43854D67" w14:textId="77777777"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6BF73CEF" w14:textId="77777777" w:rsidR="008407F2" w:rsidRPr="00710395" w:rsidRDefault="008407F2" w:rsidP="008407F2">
      <w:pPr>
        <w:pStyle w:val="ListParagraph"/>
        <w:spacing w:after="0"/>
        <w:ind w:left="1440" w:hanging="720"/>
        <w:rPr>
          <w:rFonts w:asciiTheme="minorHAnsi" w:hAnsiTheme="minorHAnsi"/>
          <w:sz w:val="24"/>
          <w:szCs w:val="24"/>
        </w:rPr>
      </w:pPr>
    </w:p>
    <w:p w14:paraId="06E998D6" w14:textId="77777777"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14:paraId="4A98EE8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14:paraId="6803B85D" w14:textId="77FBA8FD"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The Government's sole obligation with respect to any protected data shall be a</w:t>
      </w:r>
      <w:r>
        <w:rPr>
          <w:rFonts w:asciiTheme="minorHAnsi" w:hAnsiTheme="minorHAnsi" w:cs="Times New Roman"/>
          <w:color w:val="auto"/>
        </w:rPr>
        <w:t>s set forth in this paragraph (h</w:t>
      </w:r>
      <w:r w:rsidRPr="00710395">
        <w:rPr>
          <w:rFonts w:asciiTheme="minorHAnsi" w:hAnsiTheme="minorHAnsi" w:cs="Times New Roman"/>
          <w:color w:val="auto"/>
        </w:rPr>
        <w:t xml:space="preserve">). </w:t>
      </w:r>
    </w:p>
    <w:p w14:paraId="71C4A345" w14:textId="77777777" w:rsidR="008407F2" w:rsidRPr="00710395" w:rsidRDefault="008407F2" w:rsidP="008407F2">
      <w:pPr>
        <w:pStyle w:val="Default"/>
        <w:rPr>
          <w:rFonts w:asciiTheme="minorHAnsi" w:hAnsiTheme="minorHAnsi" w:cs="Times New Roman"/>
          <w:color w:val="auto"/>
        </w:rPr>
      </w:pPr>
    </w:p>
    <w:p w14:paraId="1FB885F4"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14:paraId="04F7AD19" w14:textId="77777777" w:rsidR="008407F2" w:rsidRPr="00710395" w:rsidRDefault="008407F2" w:rsidP="008407F2">
      <w:pPr>
        <w:pStyle w:val="Default"/>
        <w:rPr>
          <w:rFonts w:asciiTheme="minorHAnsi" w:hAnsiTheme="minorHAnsi" w:cs="Times New Roman"/>
          <w:color w:val="auto"/>
        </w:rPr>
      </w:pPr>
    </w:p>
    <w:p w14:paraId="2CB84830"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34B62471" w14:textId="77777777" w:rsidR="008407F2" w:rsidRPr="00710395" w:rsidRDefault="008407F2" w:rsidP="008407F2">
      <w:pPr>
        <w:pStyle w:val="Default"/>
        <w:rPr>
          <w:rFonts w:asciiTheme="minorHAnsi" w:hAnsiTheme="minorHAnsi" w:cs="Times New Roman"/>
          <w:color w:val="auto"/>
        </w:rPr>
      </w:pPr>
    </w:p>
    <w:p w14:paraId="4AA0D612" w14:textId="0C8ED844" w:rsidR="008407F2" w:rsidRPr="00710395" w:rsidRDefault="008407F2" w:rsidP="008407F2">
      <w:pPr>
        <w:pStyle w:val="Default"/>
        <w:numPr>
          <w:ilvl w:val="0"/>
          <w:numId w:val="35"/>
        </w:numPr>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Subaward/Contract</w:t>
      </w:r>
    </w:p>
    <w:p w14:paraId="17415445" w14:textId="77777777" w:rsidR="008407F2" w:rsidRPr="00710395" w:rsidRDefault="008407F2" w:rsidP="008407F2">
      <w:pPr>
        <w:pStyle w:val="Default"/>
        <w:rPr>
          <w:rFonts w:asciiTheme="minorHAnsi" w:hAnsiTheme="minorHAnsi" w:cs="Times New Roman"/>
          <w:color w:val="auto"/>
        </w:rPr>
      </w:pPr>
    </w:p>
    <w:p w14:paraId="404AABD7"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w:t>
      </w:r>
      <w:r w:rsidRPr="00710395">
        <w:rPr>
          <w:rFonts w:asciiTheme="minorHAnsi" w:hAnsiTheme="minorHAnsi" w:cs="Times New Roman"/>
          <w:color w:val="auto"/>
        </w:rPr>
        <w:lastRenderedPageBreak/>
        <w:t xml:space="preserve">of the Contracting Officer and not proceed with subaward/contract award without further authorization.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0BAF299B" w14:textId="77777777" w:rsidR="008407F2" w:rsidRPr="00710395" w:rsidRDefault="008407F2" w:rsidP="008407F2">
      <w:pPr>
        <w:pStyle w:val="Default"/>
        <w:ind w:firstLine="720"/>
        <w:rPr>
          <w:rFonts w:asciiTheme="minorHAnsi" w:hAnsiTheme="minorHAnsi" w:cs="Times New Roman"/>
          <w:color w:val="auto"/>
        </w:rPr>
      </w:pPr>
    </w:p>
    <w:p w14:paraId="59DBD242" w14:textId="5F0B60F9" w:rsidR="008407F2" w:rsidRPr="00710395"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Additional Data Requirements</w:t>
      </w:r>
    </w:p>
    <w:p w14:paraId="611E1B98" w14:textId="77777777" w:rsidR="008407F2" w:rsidRPr="00710395" w:rsidRDefault="008407F2" w:rsidP="008407F2">
      <w:pPr>
        <w:pStyle w:val="Default"/>
        <w:rPr>
          <w:rFonts w:asciiTheme="minorHAnsi" w:hAnsiTheme="minorHAnsi" w:cs="Times New Roman"/>
          <w:color w:val="auto"/>
        </w:rPr>
      </w:pPr>
    </w:p>
    <w:p w14:paraId="5B158C74"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64BA301B" w14:textId="77777777" w:rsidR="008407F2" w:rsidRPr="00710395" w:rsidRDefault="008407F2" w:rsidP="008407F2">
      <w:pPr>
        <w:pStyle w:val="Default"/>
        <w:rPr>
          <w:rFonts w:asciiTheme="minorHAnsi" w:hAnsiTheme="minorHAnsi" w:cs="Times New Roman"/>
          <w:color w:val="auto"/>
        </w:rPr>
      </w:pPr>
    </w:p>
    <w:p w14:paraId="55D46036" w14:textId="16BA5BFF" w:rsidR="008407F2"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w:t>
      </w:r>
      <w:r>
        <w:rPr>
          <w:rFonts w:asciiTheme="minorHAnsi" w:hAnsiTheme="minorHAnsi" w:cs="Times New Roman"/>
          <w:color w:val="auto"/>
        </w:rPr>
        <w:t>ithheld pursuant to paragraph (i</w:t>
      </w:r>
      <w:r w:rsidRPr="00710395">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4F7BE0BE" w14:textId="77777777" w:rsidR="008407F2" w:rsidRDefault="008407F2" w:rsidP="008407F2">
      <w:pPr>
        <w:pStyle w:val="Default"/>
        <w:rPr>
          <w:rFonts w:asciiTheme="minorHAnsi" w:hAnsiTheme="minorHAnsi" w:cs="Times New Roman"/>
        </w:rPr>
      </w:pPr>
    </w:p>
    <w:p w14:paraId="5E69ACCB" w14:textId="77777777" w:rsidR="008407F2" w:rsidRDefault="008407F2" w:rsidP="008407F2">
      <w:pPr>
        <w:pStyle w:val="Default"/>
        <w:rPr>
          <w:rFonts w:asciiTheme="minorHAnsi" w:hAnsiTheme="minorHAnsi" w:cs="Times New Roman"/>
        </w:rPr>
      </w:pPr>
      <w:r>
        <w:rPr>
          <w:rFonts w:asciiTheme="minorHAnsi" w:hAnsiTheme="minorHAnsi" w:cs="Times New Roman"/>
        </w:rPr>
        <w:t>(End of Clause)</w:t>
      </w:r>
    </w:p>
    <w:p w14:paraId="1716C46F" w14:textId="77777777" w:rsidR="002C3E5C" w:rsidRPr="00B9034E" w:rsidRDefault="002C3E5C" w:rsidP="002C3E5C">
      <w:pPr>
        <w:pStyle w:val="Default"/>
        <w:tabs>
          <w:tab w:val="left" w:pos="720"/>
        </w:tabs>
        <w:rPr>
          <w:rFonts w:asciiTheme="minorHAnsi" w:hAnsiTheme="minorHAnsi"/>
          <w:b/>
          <w:bCs/>
          <w:color w:val="auto"/>
        </w:rPr>
      </w:pPr>
    </w:p>
    <w:p w14:paraId="5F7AA440" w14:textId="77777777"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7EFC017D"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4D21B3D" w14:textId="77777777" w:rsidR="002C3E5C" w:rsidRPr="00AB34E1" w:rsidRDefault="002C3E5C" w:rsidP="002C3E5C">
      <w:pPr>
        <w:pStyle w:val="Default"/>
        <w:ind w:left="720" w:hanging="720"/>
        <w:rPr>
          <w:rFonts w:asciiTheme="minorHAnsi" w:hAnsiTheme="minorHAnsi" w:cs="Times New Roman"/>
          <w:color w:val="auto"/>
        </w:rPr>
      </w:pPr>
    </w:p>
    <w:p w14:paraId="2B6BAC55"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w:t>
      </w:r>
      <w:r w:rsidRPr="00AB34E1">
        <w:rPr>
          <w:rFonts w:asciiTheme="minorHAnsi" w:hAnsiTheme="minorHAnsi" w:cs="Times New Roman"/>
          <w:color w:val="auto"/>
        </w:rPr>
        <w:lastRenderedPageBreak/>
        <w:t xml:space="preserve">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CBF030E" w14:textId="77777777" w:rsidR="002C3E5C" w:rsidRPr="00AB34E1" w:rsidRDefault="002C3E5C" w:rsidP="002C3E5C">
      <w:pPr>
        <w:pStyle w:val="Default"/>
        <w:ind w:left="720" w:hanging="720"/>
        <w:rPr>
          <w:rFonts w:asciiTheme="minorHAnsi" w:hAnsiTheme="minorHAnsi" w:cs="Times New Roman"/>
          <w:color w:val="auto"/>
        </w:rPr>
      </w:pPr>
    </w:p>
    <w:p w14:paraId="26E5298C" w14:textId="77777777"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077A432" w14:textId="77777777" w:rsidR="002C3E5C" w:rsidRDefault="002C3E5C" w:rsidP="002C3E5C">
      <w:pPr>
        <w:pStyle w:val="CM16"/>
        <w:spacing w:line="240" w:lineRule="atLeast"/>
        <w:outlineLvl w:val="0"/>
        <w:rPr>
          <w:rFonts w:asciiTheme="minorHAnsi" w:hAnsiTheme="minorHAnsi"/>
        </w:rPr>
      </w:pPr>
    </w:p>
    <w:p w14:paraId="48E2DED1" w14:textId="77777777"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14:paraId="428ACACC" w14:textId="77777777" w:rsidR="00C3518B" w:rsidRPr="00C3518B" w:rsidRDefault="00F86A2F" w:rsidP="00C3518B">
      <w:pPr>
        <w:jc w:val="both"/>
        <w:rPr>
          <w:rFonts w:ascii="Times New Roman" w:hAnsi="Times New Roman" w:cs="Times New Roman"/>
          <w:b/>
        </w:rPr>
      </w:pPr>
      <w:r w:rsidRPr="00710395">
        <w:rPr>
          <w:rFonts w:cs="Times New Roman"/>
          <w:b/>
          <w:sz w:val="24"/>
          <w:szCs w:val="24"/>
        </w:rPr>
        <w:t>5.</w:t>
      </w:r>
      <w:r w:rsidRPr="00710395">
        <w:rPr>
          <w:rFonts w:cs="Times New Roman"/>
          <w:b/>
          <w:sz w:val="24"/>
          <w:szCs w:val="24"/>
        </w:rPr>
        <w:tab/>
      </w:r>
      <w:r w:rsidR="00F079F1">
        <w:rPr>
          <w:rFonts w:cs="Times New Roman"/>
          <w:b/>
          <w:sz w:val="24"/>
          <w:szCs w:val="24"/>
        </w:rPr>
        <w:t xml:space="preserve">Enhanced </w:t>
      </w:r>
      <w:r w:rsidR="00C3518B" w:rsidRPr="00C3518B">
        <w:rPr>
          <w:rFonts w:cs="Times New Roman"/>
          <w:b/>
          <w:sz w:val="24"/>
          <w:szCs w:val="24"/>
        </w:rPr>
        <w:t>U.S. Competitiveness</w:t>
      </w:r>
    </w:p>
    <w:p w14:paraId="6192C9E7"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00C3518B"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14:paraId="57587BEF"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78975191" w14:textId="2C039E01"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w:t>
      </w:r>
      <w:r w:rsidR="001D178A">
        <w:rPr>
          <w:rFonts w:eastAsia="Times New Roman" w:cs="Times New Roman"/>
          <w:color w:val="000000"/>
          <w:sz w:val="24"/>
          <w:szCs w:val="24"/>
        </w:rPr>
        <w:t>Commercialization</w:t>
      </w:r>
      <w:r w:rsidR="00C3518B" w:rsidRPr="00C3518B">
        <w:rPr>
          <w:rFonts w:eastAsia="Times New Roman" w:cs="Times New Roman"/>
          <w:color w:val="000000"/>
          <w:sz w:val="24"/>
          <w:szCs w:val="24"/>
        </w:rPr>
        <w:t xml:space="preserve"> Plan submitted as part of the Application process is incorporated in this agreement as an Addendum to this Attachment 2 and shall be binding on the Recipient.  In the event DOE agrees to foreign manufacture or to a revision of the </w:t>
      </w:r>
      <w:r w:rsidR="001D178A">
        <w:rPr>
          <w:rFonts w:eastAsia="Times New Roman" w:cs="Times New Roman"/>
          <w:color w:val="000000"/>
          <w:sz w:val="24"/>
          <w:szCs w:val="24"/>
        </w:rPr>
        <w:t xml:space="preserve">Commercialization </w:t>
      </w:r>
      <w:r w:rsidR="00C3518B" w:rsidRPr="00C3518B">
        <w:rPr>
          <w:rFonts w:eastAsia="Times New Roman" w:cs="Times New Roman"/>
          <w:color w:val="000000"/>
          <w:sz w:val="24"/>
          <w:szCs w:val="24"/>
        </w:rPr>
        <w:t>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60212E65"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73FDC94E"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If the Recipient or a licensee of the Recipient fails to comply with the foregoing U.S. manufacturing requirement then: </w:t>
      </w:r>
    </w:p>
    <w:p w14:paraId="6A20B5C3"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03E9E092"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14:paraId="3E58F5A4"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14:paraId="75D45BAF"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E48FD">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14:paraId="6ECE30DF"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w:t>
      </w:r>
      <w:r w:rsidRPr="00C3518B">
        <w:rPr>
          <w:rFonts w:eastAsia="Times New Roman" w:cs="Times New Roman"/>
          <w:color w:val="000000"/>
          <w:sz w:val="24"/>
          <w:szCs w:val="24"/>
        </w:rPr>
        <w:lastRenderedPageBreak/>
        <w:t xml:space="preserve">Inventions, unless the United States grants a license through a separately agreed upon licensing agreement.  </w:t>
      </w:r>
    </w:p>
    <w:p w14:paraId="7735D537"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6741A912" w14:textId="77777777" w:rsidR="00C3518B" w:rsidRPr="00C3518B" w:rsidRDefault="00326A03" w:rsidP="00326A03">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14:paraId="5D000EC0"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14:paraId="6642B536"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14:paraId="282ED42D"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278E89FB"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22502E8A" w14:textId="77777777" w:rsidR="00C3518B" w:rsidRPr="00C3518B" w:rsidRDefault="00C3518B" w:rsidP="00C3518B">
      <w:pPr>
        <w:pStyle w:val="Default"/>
        <w:jc w:val="both"/>
        <w:rPr>
          <w:rFonts w:asciiTheme="minorHAnsi" w:hAnsiTheme="minorHAnsi" w:cs="Times New Roman"/>
        </w:rPr>
      </w:pPr>
      <w:r w:rsidRPr="00C3518B">
        <w:rPr>
          <w:rFonts w:asciiTheme="minorHAnsi" w:hAnsiTheme="minorHAnsi" w:cs="Times New Roman"/>
        </w:rPr>
        <w:t>(End of Clause)</w:t>
      </w:r>
    </w:p>
    <w:p w14:paraId="79161B21"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601BA744" w14:textId="77777777" w:rsidR="00C3518B" w:rsidRPr="00C3518B" w:rsidRDefault="00C3518B" w:rsidP="00C3518B">
      <w:pPr>
        <w:pStyle w:val="CM13"/>
        <w:spacing w:after="240"/>
        <w:ind w:right="216"/>
        <w:jc w:val="both"/>
        <w:rPr>
          <w:rFonts w:asciiTheme="minorHAnsi" w:hAnsiTheme="minorHAnsi"/>
        </w:rPr>
      </w:pPr>
      <w:r w:rsidRPr="00C3518B">
        <w:rPr>
          <w:rFonts w:asciiTheme="minorHAnsi" w:hAnsiTheme="minorHAnsi"/>
          <w:b/>
        </w:rPr>
        <w:t xml:space="preserve">6.  </w:t>
      </w:r>
      <w:r w:rsidRPr="00C3518B">
        <w:rPr>
          <w:rFonts w:asciiTheme="minorHAnsi" w:hAnsiTheme="minorHAnsi"/>
          <w:b/>
        </w:rPr>
        <w:tab/>
        <w:t>Subawards</w:t>
      </w:r>
      <w:r w:rsidRPr="00C3518B">
        <w:rPr>
          <w:rFonts w:asciiTheme="minorHAnsi" w:hAnsiTheme="minorHAnsi"/>
        </w:rPr>
        <w:t>.</w:t>
      </w:r>
    </w:p>
    <w:p w14:paraId="1FECB34C" w14:textId="7B28F843" w:rsidR="00C3518B" w:rsidRPr="00C3518B" w:rsidRDefault="00C3518B" w:rsidP="00A1069A">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Subawardees:  The Recipient shall incorporate all of the intellectual property provisions found in Attachment 2 </w:t>
      </w:r>
      <w:r w:rsidR="00A1069A" w:rsidRPr="00A1069A">
        <w:rPr>
          <w:rFonts w:asciiTheme="minorHAnsi" w:hAnsiTheme="minorHAnsi" w:cs="Times New Roman"/>
          <w:color w:val="auto"/>
        </w:rPr>
        <w:t>ARPA-E INTELLECTUAL PROPERTY PROVISIONS FOR COOPERATIVE AGREEMENT WITH DOMESTIC SMALL BUSINESSES 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C3518B">
        <w:rPr>
          <w:rFonts w:asciiTheme="minorHAnsi" w:hAnsiTheme="minorHAnsi" w:cs="Times New Roman"/>
          <w:color w:val="auto"/>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56A72B0C" w14:textId="77777777" w:rsidR="00C3518B" w:rsidRPr="00C3518B" w:rsidRDefault="00C3518B" w:rsidP="00C3518B">
      <w:pPr>
        <w:pStyle w:val="Default"/>
        <w:ind w:left="720" w:hanging="720"/>
        <w:jc w:val="both"/>
        <w:rPr>
          <w:rFonts w:asciiTheme="minorHAnsi" w:hAnsiTheme="minorHAnsi" w:cs="Times New Roman"/>
          <w:color w:val="auto"/>
        </w:rPr>
      </w:pPr>
    </w:p>
    <w:p w14:paraId="662B4D4A" w14:textId="6DC91AD2" w:rsidR="00C3518B" w:rsidRPr="00C3518B" w:rsidRDefault="00C3518B" w:rsidP="00896F22">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Subawardees: The Recipient shall incorporate all of the intellectual property provisions found in Attachment 2 </w:t>
      </w:r>
      <w:r w:rsidR="00896F22" w:rsidRPr="00896F22">
        <w:rPr>
          <w:rFonts w:asciiTheme="minorHAnsi" w:hAnsiTheme="minorHAnsi" w:cs="Times New Roman"/>
          <w:color w:val="auto"/>
        </w:rPr>
        <w:t>ARPA-E INTELLECTUAL PROPERTY PROVISIONS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FOR COOPERATIVE AGREEMENT WITH DOMESTIC UNIVERSITIES AND NONPROFIT ORGANIZATIONS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00740F16" w:rsidRPr="005E08D1">
          <w:rPr>
            <w:rStyle w:val="Hyperlink"/>
          </w:rPr>
          <w:t xml:space="preserve"> </w:t>
        </w:r>
        <w:r w:rsidR="00740F16" w:rsidRPr="005E08D1">
          <w:rPr>
            <w:rStyle w:val="Hyperlink"/>
            <w:rFonts w:asciiTheme="minorHAnsi" w:hAnsiTheme="minorHAnsi"/>
          </w:rPr>
          <w:t>https://arpa-e.energy.gov/?q=site-page/funding-agreements</w:t>
        </w:r>
      </w:hyperlink>
      <w:r w:rsidRPr="00C3518B">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2640F93C" w14:textId="77777777" w:rsidR="00C3518B" w:rsidRPr="00C3518B" w:rsidRDefault="00C3518B" w:rsidP="00C3518B">
      <w:pPr>
        <w:pStyle w:val="Default"/>
        <w:ind w:left="720" w:hanging="720"/>
        <w:jc w:val="both"/>
        <w:rPr>
          <w:rFonts w:asciiTheme="minorHAnsi" w:hAnsiTheme="minorHAnsi" w:cs="Times New Roman"/>
          <w:color w:val="auto"/>
        </w:rPr>
      </w:pPr>
    </w:p>
    <w:p w14:paraId="25A6351C" w14:textId="77777777"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lastRenderedPageBreak/>
        <w:t>(c)</w:t>
      </w:r>
      <w:r w:rsidRPr="00C3518B">
        <w:rPr>
          <w:rFonts w:asciiTheme="minorHAnsi" w:hAnsiTheme="minorHAnsi" w:cs="Times New Roman"/>
          <w:color w:val="auto"/>
        </w:rPr>
        <w:tab/>
        <w:t xml:space="preserve">Large Business and Foreign Entity Subawardees:  </w:t>
      </w:r>
      <w:r w:rsidRPr="00C3518B">
        <w:rPr>
          <w:rFonts w:asciiTheme="minorHAnsi" w:hAnsiTheme="minorHAnsi" w:cs="Times New Roman"/>
          <w:color w:val="auto"/>
        </w:rPr>
        <w:tab/>
      </w:r>
    </w:p>
    <w:p w14:paraId="7450437E" w14:textId="3C0AD785" w:rsidR="00142E6A" w:rsidRDefault="00142E6A" w:rsidP="00DD1261">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 xml:space="preserve">he Recipient shall incorporate all of the intellectual property provisions found in Attachment 2 </w:t>
      </w:r>
      <w:r w:rsidR="00DD1261" w:rsidRPr="00DD1261">
        <w:rPr>
          <w:rFonts w:asciiTheme="minorHAnsi" w:hAnsiTheme="minorHAnsi" w:cs="Times New Roman"/>
          <w:color w:val="auto"/>
        </w:rPr>
        <w:t xml:space="preserve">ARPA-E INTELLECTUAL PROPERTY PROVISIONS FOR COOPERATIVE AGREEMENT WITH LARGE BUSINESSES—WAIVER (PATENT RIGHTS)INCLUDING ENHANCED U.S. COMPETITIVENESS IN SUBAWARDS AND A COMMERCIALIZATION PLAN </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463A2E30" w14:textId="77777777" w:rsidR="00142E6A" w:rsidRDefault="00142E6A" w:rsidP="00142E6A">
      <w:pPr>
        <w:pStyle w:val="Default"/>
        <w:ind w:left="1440" w:hanging="720"/>
        <w:rPr>
          <w:rFonts w:asciiTheme="minorHAnsi" w:hAnsiTheme="minorHAnsi" w:cs="Times New Roman"/>
          <w:color w:val="auto"/>
        </w:rPr>
      </w:pPr>
    </w:p>
    <w:p w14:paraId="410AB331" w14:textId="12581336" w:rsidR="00142E6A" w:rsidRDefault="00142E6A" w:rsidP="00797475">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797475" w:rsidRPr="00797475">
        <w:rPr>
          <w:rFonts w:asciiTheme="minorHAnsi" w:hAnsiTheme="minorHAnsi" w:cs="Times New Roman"/>
          <w:color w:val="auto"/>
        </w:rPr>
        <w:t>ARPA-E INTELLECTUAL PROPERTY PROVISIONS FOR COOPERATIVE AGREEMENT WITH LARGE BUSINESSES—NO WAIVER (PATENT RIGHTS)</w:t>
      </w:r>
      <w:r w:rsidR="00797475">
        <w:rPr>
          <w:rFonts w:asciiTheme="minorHAnsi" w:hAnsiTheme="minorHAnsi" w:cs="Times New Roman"/>
          <w:color w:val="auto"/>
        </w:rPr>
        <w:t xml:space="preserve"> </w:t>
      </w:r>
      <w:r w:rsidR="00797475" w:rsidRPr="00797475">
        <w:rPr>
          <w:rFonts w:asciiTheme="minorHAnsi" w:hAnsiTheme="minorHAnsi" w:cs="Times New Roman"/>
          <w:color w:val="auto"/>
        </w:rPr>
        <w:t>INCLUDING ENHANCED U.S. COMPETITIVENESS AND A COMMERCIALIZATION PLAN</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A1069A" w:rsidRPr="007362A4">
        <w:rPr>
          <w:rFonts w:asciiTheme="minorHAnsi" w:hAnsiTheme="minorHAnsi" w:cs="Times New Roman"/>
          <w:color w:val="auto"/>
        </w:rPr>
        <w:t xml:space="preserve">ARPA-E INTELLECTUAL PROPERTY PROVISIONS </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FOR COOPERATIVE AGREEMENT WITH LARGE BUSINESSES—WAIVER (PATENT RIGHTS)</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INCLUDING ENHANCED U.S. COMPETITIVENESS IN SUBAWARDS AND A COMMERCIALIZATION PLAN</w:t>
      </w:r>
      <w:r w:rsidR="00A1069A">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52892AC7" w14:textId="77777777" w:rsidR="00142E6A" w:rsidRDefault="00142E6A" w:rsidP="00142E6A">
      <w:pPr>
        <w:pStyle w:val="Default"/>
        <w:ind w:left="1440" w:hanging="720"/>
        <w:rPr>
          <w:rFonts w:asciiTheme="minorHAnsi" w:hAnsiTheme="minorHAnsi" w:cs="Times New Roman"/>
          <w:color w:val="auto"/>
        </w:rPr>
      </w:pPr>
    </w:p>
    <w:p w14:paraId="733AF52C" w14:textId="77777777" w:rsidR="00C3518B" w:rsidRPr="00C3518B" w:rsidRDefault="00C3518B" w:rsidP="00C3518B">
      <w:pPr>
        <w:pStyle w:val="Default"/>
        <w:ind w:left="1440" w:hanging="720"/>
        <w:jc w:val="both"/>
        <w:rPr>
          <w:rFonts w:asciiTheme="minorHAnsi" w:hAnsiTheme="minorHAnsi" w:cs="Times New Roman"/>
          <w:color w:val="auto"/>
        </w:rPr>
      </w:pPr>
    </w:p>
    <w:p w14:paraId="37DC93DE" w14:textId="5716ED7D"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2421814B" w14:textId="77777777"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3469E553" w14:textId="77777777" w:rsidR="00C3518B" w:rsidRPr="00F466D3"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F466D3">
        <w:rPr>
          <w:rFonts w:cs="Times New Roman"/>
          <w:sz w:val="24"/>
          <w:szCs w:val="24"/>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5D8F7B24" w14:textId="77777777" w:rsid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14:paraId="030BE92D" w14:textId="77777777" w:rsidR="009926CD" w:rsidRDefault="009926CD" w:rsidP="00C3518B">
      <w:pPr>
        <w:pStyle w:val="Default"/>
        <w:ind w:left="720" w:hanging="720"/>
        <w:jc w:val="both"/>
        <w:rPr>
          <w:rFonts w:asciiTheme="minorHAnsi" w:hAnsiTheme="minorHAnsi" w:cs="Times New Roman"/>
        </w:rPr>
      </w:pPr>
    </w:p>
    <w:p w14:paraId="5CBFF30A" w14:textId="7307EB3B" w:rsidR="009926CD" w:rsidRPr="00BD7B4A" w:rsidRDefault="009926CD" w:rsidP="009926CD">
      <w:pPr>
        <w:pStyle w:val="Default"/>
        <w:ind w:left="720" w:hanging="720"/>
        <w:rPr>
          <w:rFonts w:asciiTheme="minorHAnsi" w:hAnsiTheme="minorHAnsi" w:cs="Times New Roman"/>
          <w:color w:val="auto"/>
        </w:rPr>
      </w:pPr>
      <w:r>
        <w:rPr>
          <w:rFonts w:asciiTheme="minorHAnsi" w:hAnsiTheme="minorHAnsi" w:cs="Times New Roman"/>
          <w:b/>
          <w:color w:val="auto"/>
        </w:rPr>
        <w:t>7</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4ADB9D79" w14:textId="77777777" w:rsidR="009926CD" w:rsidRPr="000C2BFF" w:rsidRDefault="009926CD" w:rsidP="009926CD">
      <w:pPr>
        <w:pStyle w:val="Default"/>
        <w:ind w:left="720" w:hanging="720"/>
        <w:rPr>
          <w:rFonts w:asciiTheme="minorHAnsi" w:hAnsiTheme="minorHAnsi" w:cs="Times New Roman"/>
          <w:color w:val="auto"/>
        </w:rPr>
      </w:pPr>
    </w:p>
    <w:p w14:paraId="172D6BAC" w14:textId="05A68F1C" w:rsidR="00A93CF5" w:rsidRPr="007B78C4" w:rsidRDefault="00A93CF5" w:rsidP="00A93CF5">
      <w:pPr>
        <w:pStyle w:val="Default"/>
        <w:rPr>
          <w:rFonts w:asciiTheme="minorHAnsi" w:hAnsiTheme="minorHAnsi" w:cs="Times New Roman"/>
          <w:b/>
          <w:color w:val="auto"/>
        </w:rPr>
      </w:pPr>
      <w:r w:rsidRPr="000C2BFF">
        <w:rPr>
          <w:rFonts w:asciiTheme="minorHAnsi" w:hAnsiTheme="minorHAnsi" w:cs="Times New Roman"/>
          <w:color w:val="auto"/>
        </w:rPr>
        <w:t xml:space="preserve">The Recipient agrees that a purpose of this contract is to provide substantial benefit to the U.S. economy.  In exchange for the benefits and rights received under this contract, the Recipient </w:t>
      </w:r>
      <w:r w:rsidRPr="000C2BFF">
        <w:rPr>
          <w:rFonts w:asciiTheme="minorHAnsi" w:hAnsiTheme="minorHAnsi" w:cs="Times New Roman"/>
          <w:color w:val="auto"/>
        </w:rPr>
        <w:lastRenderedPageBreak/>
        <w:t>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4D55E9">
        <w:rPr>
          <w:rFonts w:asciiTheme="minorHAnsi" w:hAnsiTheme="minorHAnsi" w:cs="Times New Roman"/>
          <w:color w:val="auto"/>
        </w:rPr>
        <w:t>.</w:t>
      </w:r>
    </w:p>
    <w:p w14:paraId="1E055541" w14:textId="77777777" w:rsidR="009926CD" w:rsidRPr="00804313" w:rsidRDefault="009926CD" w:rsidP="009926CD">
      <w:pPr>
        <w:pStyle w:val="Default"/>
        <w:ind w:left="720" w:hanging="720"/>
        <w:rPr>
          <w:rFonts w:asciiTheme="minorHAnsi" w:hAnsiTheme="minorHAnsi" w:cs="Times New Roman"/>
          <w:color w:val="auto"/>
        </w:rPr>
      </w:pPr>
    </w:p>
    <w:p w14:paraId="4DA45DDA" w14:textId="77777777" w:rsidR="009926CD" w:rsidRPr="00173F87" w:rsidRDefault="009926CD" w:rsidP="009926CD">
      <w:pPr>
        <w:pStyle w:val="CM16"/>
        <w:spacing w:line="240" w:lineRule="atLeast"/>
        <w:rPr>
          <w:rFonts w:asciiTheme="minorHAnsi" w:hAnsiTheme="minorHAnsi"/>
        </w:rPr>
      </w:pPr>
      <w:r w:rsidRPr="00C3693A">
        <w:rPr>
          <w:rFonts w:asciiTheme="minorHAnsi" w:hAnsiTheme="minorHAnsi"/>
          <w:bCs/>
        </w:rPr>
        <w:t>(End of clause)</w:t>
      </w:r>
    </w:p>
    <w:p w14:paraId="7AFD26A1" w14:textId="77777777" w:rsidR="009926CD" w:rsidRDefault="009926CD" w:rsidP="00C3518B">
      <w:pPr>
        <w:pStyle w:val="Default"/>
        <w:ind w:left="720" w:hanging="720"/>
        <w:jc w:val="both"/>
        <w:rPr>
          <w:rFonts w:asciiTheme="minorHAnsi" w:hAnsiTheme="minorHAnsi" w:cs="Times New Roman"/>
        </w:rPr>
      </w:pPr>
    </w:p>
    <w:p w14:paraId="6473F3AF" w14:textId="77777777" w:rsidR="008630CC" w:rsidRDefault="008630CC" w:rsidP="00C3518B">
      <w:pPr>
        <w:pStyle w:val="Default"/>
        <w:ind w:left="720" w:hanging="720"/>
        <w:jc w:val="both"/>
        <w:rPr>
          <w:rFonts w:asciiTheme="minorHAnsi" w:hAnsiTheme="minorHAnsi" w:cs="Times New Roman"/>
        </w:rPr>
      </w:pPr>
    </w:p>
    <w:p w14:paraId="4F587816" w14:textId="77777777" w:rsidR="008630CC" w:rsidRDefault="008630CC" w:rsidP="008630CC">
      <w:pPr>
        <w:pStyle w:val="Default"/>
        <w:ind w:left="720" w:hanging="720"/>
        <w:jc w:val="center"/>
        <w:rPr>
          <w:rFonts w:asciiTheme="minorHAnsi" w:hAnsiTheme="minorHAnsi" w:cs="Times New Roman"/>
        </w:rPr>
      </w:pPr>
      <w:r>
        <w:rPr>
          <w:rFonts w:asciiTheme="minorHAnsi" w:hAnsiTheme="minorHAnsi" w:cs="Times New Roman"/>
        </w:rPr>
        <w:t>ADDENDUM</w:t>
      </w:r>
    </w:p>
    <w:p w14:paraId="1003B2F8" w14:textId="77777777" w:rsidR="008630CC" w:rsidRPr="00C3518B" w:rsidRDefault="008630CC" w:rsidP="008630CC">
      <w:pPr>
        <w:pStyle w:val="Default"/>
        <w:ind w:left="720" w:hanging="720"/>
        <w:jc w:val="center"/>
        <w:rPr>
          <w:rFonts w:asciiTheme="minorHAnsi" w:hAnsiTheme="minorHAnsi" w:cs="Times New Roman"/>
        </w:rPr>
      </w:pPr>
      <w:r>
        <w:rPr>
          <w:rFonts w:asciiTheme="minorHAnsi" w:hAnsiTheme="minorHAnsi" w:cs="Times New Roman"/>
        </w:rPr>
        <w:t>(INSERT APPROVED COMMERCIALIZATION PLAN HERE)</w:t>
      </w:r>
    </w:p>
    <w:p w14:paraId="78F598CD" w14:textId="77777777" w:rsidR="00011066" w:rsidRPr="00F86A2F" w:rsidRDefault="00011066" w:rsidP="00F86A2F"/>
    <w:sectPr w:rsidR="00011066" w:rsidRPr="00F86A2F" w:rsidSect="00983F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9E9F" w14:textId="77777777" w:rsidR="00903A31" w:rsidRDefault="00903A31" w:rsidP="006B7B6B">
      <w:pPr>
        <w:spacing w:after="0" w:line="240" w:lineRule="auto"/>
      </w:pPr>
      <w:r>
        <w:separator/>
      </w:r>
    </w:p>
  </w:endnote>
  <w:endnote w:type="continuationSeparator" w:id="0">
    <w:p w14:paraId="4A000373" w14:textId="77777777" w:rsidR="00903A31" w:rsidRDefault="00903A3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CEAF" w14:textId="77777777" w:rsidR="00463ECA" w:rsidRDefault="00463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7447FA4F" w14:textId="4927E39D"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463ECA">
              <w:rPr>
                <w:b/>
                <w:bCs/>
                <w:noProof/>
                <w:sz w:val="20"/>
                <w:szCs w:val="20"/>
              </w:rPr>
              <w:t>1</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463ECA">
              <w:rPr>
                <w:b/>
                <w:bCs/>
                <w:noProof/>
                <w:sz w:val="20"/>
                <w:szCs w:val="20"/>
              </w:rPr>
              <w:t>23</w:t>
            </w:r>
            <w:r w:rsidRPr="00153E72">
              <w:rPr>
                <w:b/>
                <w:bCs/>
                <w:sz w:val="20"/>
                <w:szCs w:val="20"/>
              </w:rPr>
              <w:fldChar w:fldCharType="end"/>
            </w:r>
            <w:r w:rsidRPr="00153E72">
              <w:rPr>
                <w:b/>
                <w:bCs/>
                <w:sz w:val="20"/>
                <w:szCs w:val="20"/>
              </w:rPr>
              <w:tab/>
            </w:r>
            <w:r w:rsidRPr="00153E72">
              <w:rPr>
                <w:bCs/>
                <w:sz w:val="20"/>
                <w:szCs w:val="20"/>
              </w:rPr>
              <w:t>AR-230</w:t>
            </w:r>
            <w:r w:rsidR="00E92076">
              <w:rPr>
                <w:bCs/>
                <w:sz w:val="20"/>
                <w:szCs w:val="20"/>
              </w:rPr>
              <w:t>B</w:t>
            </w:r>
            <w:r w:rsidRPr="00153E72">
              <w:rPr>
                <w:bCs/>
                <w:sz w:val="20"/>
                <w:szCs w:val="20"/>
              </w:rPr>
              <w:t>-</w:t>
            </w:r>
            <w:r w:rsidR="00DC44EA">
              <w:rPr>
                <w:bCs/>
                <w:sz w:val="20"/>
                <w:szCs w:val="20"/>
              </w:rPr>
              <w:t>0</w:t>
            </w:r>
            <w:r w:rsidR="00463ECA">
              <w:rPr>
                <w:bCs/>
                <w:sz w:val="20"/>
                <w:szCs w:val="20"/>
              </w:rPr>
              <w:t>7</w:t>
            </w:r>
            <w:r w:rsidR="00E92076">
              <w:rPr>
                <w:bCs/>
                <w:sz w:val="20"/>
                <w:szCs w:val="20"/>
              </w:rPr>
              <w:t>.20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0C73" w14:textId="77777777" w:rsidR="00463ECA" w:rsidRDefault="0046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6A1D" w14:textId="77777777" w:rsidR="00903A31" w:rsidRDefault="00903A31" w:rsidP="006B7B6B">
      <w:pPr>
        <w:spacing w:after="0" w:line="240" w:lineRule="auto"/>
      </w:pPr>
      <w:r>
        <w:separator/>
      </w:r>
    </w:p>
  </w:footnote>
  <w:footnote w:type="continuationSeparator" w:id="0">
    <w:p w14:paraId="1E534494" w14:textId="77777777" w:rsidR="00903A31" w:rsidRDefault="00903A31" w:rsidP="006B7B6B">
      <w:pPr>
        <w:spacing w:after="0" w:line="240" w:lineRule="auto"/>
      </w:pPr>
      <w:r>
        <w:continuationSeparator/>
      </w:r>
    </w:p>
  </w:footnote>
  <w:footnote w:id="1">
    <w:p w14:paraId="3621DB1A" w14:textId="77777777" w:rsidR="00C3518B" w:rsidRPr="003A6EA6" w:rsidRDefault="00C3518B" w:rsidP="00C3518B">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134C" w14:textId="77777777" w:rsidR="00D83C75" w:rsidRDefault="00463ECA">
    <w:pPr>
      <w:pStyle w:val="Header"/>
    </w:pPr>
    <w:r>
      <w:rPr>
        <w:noProof/>
      </w:rPr>
      <w:pict w14:anchorId="0CEF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9BF7" w14:textId="77777777"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14:paraId="3CC93017" w14:textId="77777777" w:rsidR="00D83C75" w:rsidRPr="00A411FB" w:rsidRDefault="00D83C75" w:rsidP="00891C72">
    <w:pPr>
      <w:pStyle w:val="Header"/>
      <w:rPr>
        <w:sz w:val="20"/>
        <w:szCs w:val="20"/>
      </w:rPr>
    </w:pPr>
    <w:r w:rsidRPr="00A411FB">
      <w:rPr>
        <w:b/>
        <w:sz w:val="20"/>
        <w:szCs w:val="20"/>
      </w:rPr>
      <w:t>Attachment 2 (Domestic Small Businesses)</w:t>
    </w:r>
  </w:p>
  <w:p w14:paraId="0D46C8A3" w14:textId="77777777" w:rsidR="00D83C75" w:rsidRDefault="00D83C75" w:rsidP="00E67A58">
    <w:pPr>
      <w:pStyle w:val="Header"/>
    </w:pPr>
  </w:p>
  <w:p w14:paraId="6F8BC65D" w14:textId="77777777"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B3CE" w14:textId="77777777" w:rsidR="00D83C75" w:rsidRDefault="00463ECA">
    <w:pPr>
      <w:pStyle w:val="Header"/>
    </w:pPr>
    <w:r>
      <w:rPr>
        <w:noProof/>
      </w:rPr>
      <w:pict w14:anchorId="4FE8E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0FE2259"/>
    <w:multiLevelType w:val="hybridMultilevel"/>
    <w:tmpl w:val="BF689FAA"/>
    <w:lvl w:ilvl="0" w:tplc="913404DE">
      <w:start w:val="6"/>
      <w:numFmt w:val="lowerLetter"/>
      <w:lvlText w:val="(%1)"/>
      <w:lvlJc w:val="left"/>
      <w:pPr>
        <w:ind w:left="504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A31A3"/>
    <w:multiLevelType w:val="hybridMultilevel"/>
    <w:tmpl w:val="F306C596"/>
    <w:lvl w:ilvl="0" w:tplc="9EBC36B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721C3C"/>
    <w:multiLevelType w:val="hybridMultilevel"/>
    <w:tmpl w:val="6A247786"/>
    <w:lvl w:ilvl="0" w:tplc="88129DFE">
      <w:start w:val="5"/>
      <w:numFmt w:val="lowerLetter"/>
      <w:lvlText w:val="(%1)"/>
      <w:lvlJc w:val="left"/>
      <w:pPr>
        <w:ind w:left="5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70F95CCA"/>
    <w:multiLevelType w:val="hybridMultilevel"/>
    <w:tmpl w:val="E46C8B5A"/>
    <w:lvl w:ilvl="0" w:tplc="D0422DF2">
      <w:start w:val="10"/>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32"/>
  </w:num>
  <w:num w:numId="5">
    <w:abstractNumId w:val="18"/>
  </w:num>
  <w:num w:numId="6">
    <w:abstractNumId w:val="28"/>
  </w:num>
  <w:num w:numId="7">
    <w:abstractNumId w:val="22"/>
  </w:num>
  <w:num w:numId="8">
    <w:abstractNumId w:val="29"/>
  </w:num>
  <w:num w:numId="9">
    <w:abstractNumId w:val="24"/>
  </w:num>
  <w:num w:numId="10">
    <w:abstractNumId w:val="20"/>
  </w:num>
  <w:num w:numId="11">
    <w:abstractNumId w:val="10"/>
  </w:num>
  <w:num w:numId="12">
    <w:abstractNumId w:val="25"/>
  </w:num>
  <w:num w:numId="13">
    <w:abstractNumId w:val="19"/>
  </w:num>
  <w:num w:numId="14">
    <w:abstractNumId w:val="12"/>
  </w:num>
  <w:num w:numId="15">
    <w:abstractNumId w:val="5"/>
  </w:num>
  <w:num w:numId="16">
    <w:abstractNumId w:val="15"/>
  </w:num>
  <w:num w:numId="17">
    <w:abstractNumId w:val="26"/>
  </w:num>
  <w:num w:numId="18">
    <w:abstractNumId w:val="34"/>
  </w:num>
  <w:num w:numId="19">
    <w:abstractNumId w:val="3"/>
  </w:num>
  <w:num w:numId="20">
    <w:abstractNumId w:val="6"/>
  </w:num>
  <w:num w:numId="21">
    <w:abstractNumId w:val="35"/>
  </w:num>
  <w:num w:numId="22">
    <w:abstractNumId w:val="23"/>
  </w:num>
  <w:num w:numId="23">
    <w:abstractNumId w:val="2"/>
  </w:num>
  <w:num w:numId="24">
    <w:abstractNumId w:val="11"/>
  </w:num>
  <w:num w:numId="25">
    <w:abstractNumId w:val="17"/>
  </w:num>
  <w:num w:numId="26">
    <w:abstractNumId w:val="4"/>
  </w:num>
  <w:num w:numId="27">
    <w:abstractNumId w:val="14"/>
  </w:num>
  <w:num w:numId="28">
    <w:abstractNumId w:val="27"/>
  </w:num>
  <w:num w:numId="29">
    <w:abstractNumId w:val="7"/>
  </w:num>
  <w:num w:numId="30">
    <w:abstractNumId w:val="36"/>
  </w:num>
  <w:num w:numId="31">
    <w:abstractNumId w:val="31"/>
  </w:num>
  <w:num w:numId="32">
    <w:abstractNumId w:val="30"/>
  </w:num>
  <w:num w:numId="33">
    <w:abstractNumId w:val="9"/>
  </w:num>
  <w:num w:numId="34">
    <w:abstractNumId w:val="16"/>
  </w:num>
  <w:num w:numId="35">
    <w:abstractNumId w:val="33"/>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4F5B"/>
    <w:rsid w:val="001A5A07"/>
    <w:rsid w:val="001C4A4A"/>
    <w:rsid w:val="001C73D5"/>
    <w:rsid w:val="001C7962"/>
    <w:rsid w:val="001D178A"/>
    <w:rsid w:val="001D3685"/>
    <w:rsid w:val="001F0D6B"/>
    <w:rsid w:val="001F164B"/>
    <w:rsid w:val="001F223C"/>
    <w:rsid w:val="001F2787"/>
    <w:rsid w:val="00214691"/>
    <w:rsid w:val="002212F8"/>
    <w:rsid w:val="00261862"/>
    <w:rsid w:val="002649CF"/>
    <w:rsid w:val="0027481D"/>
    <w:rsid w:val="00284FE9"/>
    <w:rsid w:val="0029467D"/>
    <w:rsid w:val="00295744"/>
    <w:rsid w:val="00296E85"/>
    <w:rsid w:val="002A2AB5"/>
    <w:rsid w:val="002B231A"/>
    <w:rsid w:val="002B3E31"/>
    <w:rsid w:val="002C3E5C"/>
    <w:rsid w:val="002D60C8"/>
    <w:rsid w:val="002E021F"/>
    <w:rsid w:val="002E0589"/>
    <w:rsid w:val="002E281F"/>
    <w:rsid w:val="002E2AC4"/>
    <w:rsid w:val="003010B6"/>
    <w:rsid w:val="00326A03"/>
    <w:rsid w:val="003709E7"/>
    <w:rsid w:val="00375580"/>
    <w:rsid w:val="00377611"/>
    <w:rsid w:val="00387986"/>
    <w:rsid w:val="00391178"/>
    <w:rsid w:val="0039478B"/>
    <w:rsid w:val="00394E80"/>
    <w:rsid w:val="0039601F"/>
    <w:rsid w:val="003A4063"/>
    <w:rsid w:val="003E48FD"/>
    <w:rsid w:val="003F72CF"/>
    <w:rsid w:val="0041032F"/>
    <w:rsid w:val="00411C17"/>
    <w:rsid w:val="00444DD5"/>
    <w:rsid w:val="00452759"/>
    <w:rsid w:val="00463ECA"/>
    <w:rsid w:val="0046644A"/>
    <w:rsid w:val="00484B41"/>
    <w:rsid w:val="00486F8C"/>
    <w:rsid w:val="00487398"/>
    <w:rsid w:val="004947FC"/>
    <w:rsid w:val="004963CF"/>
    <w:rsid w:val="00497C1C"/>
    <w:rsid w:val="004D55E9"/>
    <w:rsid w:val="004E1C81"/>
    <w:rsid w:val="004F3395"/>
    <w:rsid w:val="0052496E"/>
    <w:rsid w:val="00532D53"/>
    <w:rsid w:val="00540540"/>
    <w:rsid w:val="005B4092"/>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A5F68"/>
    <w:rsid w:val="006B7B6B"/>
    <w:rsid w:val="006C13AB"/>
    <w:rsid w:val="006C1AF3"/>
    <w:rsid w:val="006C6A47"/>
    <w:rsid w:val="006C72B4"/>
    <w:rsid w:val="006D4EAA"/>
    <w:rsid w:val="006E27A0"/>
    <w:rsid w:val="006E2A33"/>
    <w:rsid w:val="006F0DB5"/>
    <w:rsid w:val="006F1D9B"/>
    <w:rsid w:val="00700EE3"/>
    <w:rsid w:val="00710356"/>
    <w:rsid w:val="00716662"/>
    <w:rsid w:val="0072677F"/>
    <w:rsid w:val="00740F16"/>
    <w:rsid w:val="0075010B"/>
    <w:rsid w:val="00756714"/>
    <w:rsid w:val="00762DB8"/>
    <w:rsid w:val="00772E04"/>
    <w:rsid w:val="0077440B"/>
    <w:rsid w:val="00797475"/>
    <w:rsid w:val="007B6959"/>
    <w:rsid w:val="007C20AD"/>
    <w:rsid w:val="007E3C62"/>
    <w:rsid w:val="007F4191"/>
    <w:rsid w:val="007F4C92"/>
    <w:rsid w:val="00804BDD"/>
    <w:rsid w:val="0081166B"/>
    <w:rsid w:val="00817209"/>
    <w:rsid w:val="008407F2"/>
    <w:rsid w:val="00860838"/>
    <w:rsid w:val="00862855"/>
    <w:rsid w:val="008630CC"/>
    <w:rsid w:val="008808AA"/>
    <w:rsid w:val="008836D0"/>
    <w:rsid w:val="008866F0"/>
    <w:rsid w:val="00890D0B"/>
    <w:rsid w:val="00891C72"/>
    <w:rsid w:val="0089573A"/>
    <w:rsid w:val="00896F22"/>
    <w:rsid w:val="008A6AFE"/>
    <w:rsid w:val="008B46A0"/>
    <w:rsid w:val="008C2ABE"/>
    <w:rsid w:val="008C484C"/>
    <w:rsid w:val="008E4500"/>
    <w:rsid w:val="008E5F69"/>
    <w:rsid w:val="00901066"/>
    <w:rsid w:val="00903A31"/>
    <w:rsid w:val="00914AA1"/>
    <w:rsid w:val="009156B5"/>
    <w:rsid w:val="009218D0"/>
    <w:rsid w:val="00921D29"/>
    <w:rsid w:val="009407C3"/>
    <w:rsid w:val="009466E1"/>
    <w:rsid w:val="009557CC"/>
    <w:rsid w:val="0096160A"/>
    <w:rsid w:val="00971184"/>
    <w:rsid w:val="00983FCE"/>
    <w:rsid w:val="0098729A"/>
    <w:rsid w:val="009926CD"/>
    <w:rsid w:val="009A5852"/>
    <w:rsid w:val="009A5A8B"/>
    <w:rsid w:val="009A71EB"/>
    <w:rsid w:val="009B5F03"/>
    <w:rsid w:val="009F41D4"/>
    <w:rsid w:val="009F7716"/>
    <w:rsid w:val="00A01A12"/>
    <w:rsid w:val="00A06CB0"/>
    <w:rsid w:val="00A1069A"/>
    <w:rsid w:val="00A154F0"/>
    <w:rsid w:val="00A275BB"/>
    <w:rsid w:val="00A411FB"/>
    <w:rsid w:val="00A46444"/>
    <w:rsid w:val="00A50030"/>
    <w:rsid w:val="00A55F80"/>
    <w:rsid w:val="00A626F7"/>
    <w:rsid w:val="00A66A02"/>
    <w:rsid w:val="00A70473"/>
    <w:rsid w:val="00A74358"/>
    <w:rsid w:val="00A80B8E"/>
    <w:rsid w:val="00A93CF5"/>
    <w:rsid w:val="00AA036E"/>
    <w:rsid w:val="00AA0AB5"/>
    <w:rsid w:val="00AA78B4"/>
    <w:rsid w:val="00AB12F1"/>
    <w:rsid w:val="00AB3F66"/>
    <w:rsid w:val="00AB7269"/>
    <w:rsid w:val="00AC18A7"/>
    <w:rsid w:val="00AC2DB5"/>
    <w:rsid w:val="00AD3739"/>
    <w:rsid w:val="00B06A15"/>
    <w:rsid w:val="00B07ACA"/>
    <w:rsid w:val="00B149F4"/>
    <w:rsid w:val="00B16C4E"/>
    <w:rsid w:val="00B20F5C"/>
    <w:rsid w:val="00B35D73"/>
    <w:rsid w:val="00B46418"/>
    <w:rsid w:val="00B503CF"/>
    <w:rsid w:val="00B6119A"/>
    <w:rsid w:val="00B86F31"/>
    <w:rsid w:val="00B9763E"/>
    <w:rsid w:val="00BB3057"/>
    <w:rsid w:val="00BC62D7"/>
    <w:rsid w:val="00BD6A72"/>
    <w:rsid w:val="00BE6ADC"/>
    <w:rsid w:val="00C015F8"/>
    <w:rsid w:val="00C0590A"/>
    <w:rsid w:val="00C2451E"/>
    <w:rsid w:val="00C3518B"/>
    <w:rsid w:val="00C45AD4"/>
    <w:rsid w:val="00C5174C"/>
    <w:rsid w:val="00C52431"/>
    <w:rsid w:val="00C5300A"/>
    <w:rsid w:val="00C75D41"/>
    <w:rsid w:val="00C86EAF"/>
    <w:rsid w:val="00C96919"/>
    <w:rsid w:val="00CA7B8D"/>
    <w:rsid w:val="00CB2F70"/>
    <w:rsid w:val="00CB43EB"/>
    <w:rsid w:val="00CC5B64"/>
    <w:rsid w:val="00CE2F31"/>
    <w:rsid w:val="00CE5FD4"/>
    <w:rsid w:val="00CE7273"/>
    <w:rsid w:val="00D002FC"/>
    <w:rsid w:val="00D22DA4"/>
    <w:rsid w:val="00D27285"/>
    <w:rsid w:val="00D42039"/>
    <w:rsid w:val="00D443B9"/>
    <w:rsid w:val="00D54F35"/>
    <w:rsid w:val="00D5538E"/>
    <w:rsid w:val="00D6226A"/>
    <w:rsid w:val="00D83C75"/>
    <w:rsid w:val="00D8585A"/>
    <w:rsid w:val="00DB14EA"/>
    <w:rsid w:val="00DB210F"/>
    <w:rsid w:val="00DC44EA"/>
    <w:rsid w:val="00DD1261"/>
    <w:rsid w:val="00DE4B81"/>
    <w:rsid w:val="00DF3409"/>
    <w:rsid w:val="00DF7E6E"/>
    <w:rsid w:val="00E033F3"/>
    <w:rsid w:val="00E33FAA"/>
    <w:rsid w:val="00E45479"/>
    <w:rsid w:val="00E5362B"/>
    <w:rsid w:val="00E67A58"/>
    <w:rsid w:val="00E70557"/>
    <w:rsid w:val="00E82919"/>
    <w:rsid w:val="00E82DB6"/>
    <w:rsid w:val="00E92076"/>
    <w:rsid w:val="00EA047F"/>
    <w:rsid w:val="00EA3C61"/>
    <w:rsid w:val="00EA5127"/>
    <w:rsid w:val="00EB6086"/>
    <w:rsid w:val="00EC1DC1"/>
    <w:rsid w:val="00EE2DE5"/>
    <w:rsid w:val="00EE4796"/>
    <w:rsid w:val="00F02485"/>
    <w:rsid w:val="00F079F1"/>
    <w:rsid w:val="00F172D1"/>
    <w:rsid w:val="00F20056"/>
    <w:rsid w:val="00F309CF"/>
    <w:rsid w:val="00F34738"/>
    <w:rsid w:val="00F40486"/>
    <w:rsid w:val="00F42158"/>
    <w:rsid w:val="00F4643D"/>
    <w:rsid w:val="00F466D3"/>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426DE7"/>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arpa-e.energy.gov/?q=site-page/funding-agree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2C7F-2A4A-4CCB-8AD9-25D950D7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7762</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Deligiannidis, Alexandros (CONTR)</cp:lastModifiedBy>
  <cp:revision>5</cp:revision>
  <cp:lastPrinted>2010-05-20T18:03:00Z</cp:lastPrinted>
  <dcterms:created xsi:type="dcterms:W3CDTF">2020-07-10T13:18:00Z</dcterms:created>
  <dcterms:modified xsi:type="dcterms:W3CDTF">2020-07-15T15:02:00Z</dcterms:modified>
</cp:coreProperties>
</file>