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ATTACHMENT 2: </w:t>
      </w:r>
    </w:p>
    <w:p w:rsidR="00B47B37" w:rsidRPr="00002BFA" w:rsidRDefault="00B47B37" w:rsidP="00B47B37">
      <w:pPr>
        <w:jc w:val="center"/>
        <w:rPr>
          <w:rFonts w:asciiTheme="minorHAnsi" w:hAnsiTheme="minorHAnsi"/>
          <w:b/>
          <w:bCs/>
          <w:sz w:val="28"/>
          <w:szCs w:val="28"/>
          <w:u w:val="single"/>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ARPA-E INTELLECTUAL PROPERTY PROVISIONS</w:t>
      </w: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FOR </w:t>
      </w:r>
      <w:r w:rsidR="00F249CD">
        <w:rPr>
          <w:rFonts w:asciiTheme="minorHAnsi" w:hAnsiTheme="minorHAnsi"/>
          <w:b/>
          <w:bCs/>
          <w:sz w:val="28"/>
          <w:szCs w:val="28"/>
          <w:u w:val="single"/>
        </w:rPr>
        <w:t xml:space="preserve">GRANT </w:t>
      </w:r>
      <w:r w:rsidRPr="00002BFA">
        <w:rPr>
          <w:rFonts w:asciiTheme="minorHAnsi" w:hAnsiTheme="minorHAnsi"/>
          <w:b/>
          <w:bCs/>
          <w:sz w:val="28"/>
          <w:szCs w:val="28"/>
          <w:u w:val="single"/>
        </w:rPr>
        <w:t xml:space="preserve">WITH DOMESTIC UNIVERSITIES </w:t>
      </w:r>
    </w:p>
    <w:p w:rsidR="00B47B37"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AND NONPROFIT ORGANIZATIONS</w:t>
      </w:r>
    </w:p>
    <w:p w:rsidR="00A11F3E" w:rsidRPr="00002BFA" w:rsidRDefault="00A11F3E" w:rsidP="00B47B37">
      <w:pPr>
        <w:jc w:val="center"/>
        <w:rPr>
          <w:rFonts w:asciiTheme="minorHAnsi" w:hAnsiTheme="minorHAnsi"/>
          <w:b/>
          <w:bCs/>
          <w:sz w:val="28"/>
          <w:szCs w:val="28"/>
          <w:u w:val="single"/>
        </w:rPr>
      </w:pPr>
      <w:r>
        <w:rPr>
          <w:rFonts w:asciiTheme="minorHAnsi" w:hAnsiTheme="minorHAnsi"/>
          <w:b/>
          <w:bCs/>
          <w:sz w:val="28"/>
          <w:szCs w:val="28"/>
          <w:u w:val="single"/>
        </w:rPr>
        <w:t xml:space="preserve">INCLUDING ENHANCED </w:t>
      </w:r>
      <w:r w:rsidRPr="00A11F3E">
        <w:rPr>
          <w:rFonts w:asciiTheme="minorHAnsi" w:hAnsiTheme="minorHAnsi"/>
          <w:b/>
          <w:bCs/>
          <w:sz w:val="28"/>
          <w:szCs w:val="28"/>
          <w:u w:val="single"/>
        </w:rPr>
        <w:t>U.S. COMPETITIVENESS</w:t>
      </w:r>
    </w:p>
    <w:p w:rsidR="00B47B37" w:rsidRPr="00002BFA" w:rsidRDefault="00B47B37" w:rsidP="00B47B37">
      <w:pPr>
        <w:jc w:val="center"/>
        <w:rPr>
          <w:rFonts w:asciiTheme="minorHAnsi" w:hAnsiTheme="minorHAnsi"/>
          <w:b/>
          <w:bCs/>
        </w:rPr>
      </w:pPr>
    </w:p>
    <w:p w:rsidR="00B47B37" w:rsidRPr="00E26A13" w:rsidRDefault="00B47B37" w:rsidP="00B47B37">
      <w:pPr>
        <w:jc w:val="center"/>
        <w:rPr>
          <w:rFonts w:asciiTheme="minorHAnsi" w:hAnsiTheme="minorHAnsi"/>
          <w:b/>
          <w:bCs/>
        </w:rPr>
      </w:pPr>
    </w:p>
    <w:p w:rsidR="00B47B37" w:rsidRPr="009B57F0" w:rsidRDefault="00B47B37" w:rsidP="00B47B37">
      <w:pPr>
        <w:pStyle w:val="Default"/>
        <w:numPr>
          <w:ilvl w:val="0"/>
          <w:numId w:val="14"/>
        </w:numPr>
        <w:rPr>
          <w:rFonts w:asciiTheme="minorHAnsi" w:hAnsiTheme="minorHAnsi" w:cs="Times New Roman"/>
          <w:color w:val="auto"/>
        </w:rPr>
      </w:pPr>
      <w:r w:rsidRPr="009B57F0">
        <w:rPr>
          <w:rFonts w:asciiTheme="minorHAnsi" w:hAnsiTheme="minorHAnsi" w:cs="Times New Roman"/>
          <w:color w:val="auto"/>
        </w:rPr>
        <w:t>2 CFR 200.315  Intangible Property</w:t>
      </w:r>
    </w:p>
    <w:p w:rsidR="00B47B37" w:rsidRPr="009B57F0" w:rsidRDefault="00B47B37" w:rsidP="00B47B37">
      <w:pPr>
        <w:pStyle w:val="CM1"/>
        <w:ind w:left="720"/>
        <w:rPr>
          <w:rFonts w:asciiTheme="minorHAnsi" w:hAnsiTheme="minorHAnsi"/>
        </w:rPr>
      </w:pPr>
    </w:p>
    <w:p w:rsidR="00B47B37" w:rsidRPr="009B57F0" w:rsidRDefault="00B47B37" w:rsidP="00B47B37">
      <w:pPr>
        <w:pStyle w:val="CM1"/>
        <w:numPr>
          <w:ilvl w:val="0"/>
          <w:numId w:val="14"/>
        </w:numPr>
        <w:ind w:left="720" w:hanging="720"/>
        <w:rPr>
          <w:rFonts w:asciiTheme="minorHAnsi" w:hAnsiTheme="minorHAnsi"/>
        </w:rPr>
      </w:pPr>
      <w:r w:rsidRPr="009B57F0">
        <w:rPr>
          <w:rFonts w:asciiTheme="minorHAnsi" w:hAnsiTheme="minorHAnsi"/>
          <w:bCs/>
        </w:rPr>
        <w:t>37 CFR 401.14 Patent Rights (Nonprofit Organizations)</w:t>
      </w:r>
    </w:p>
    <w:p w:rsidR="00B47B37" w:rsidRPr="009B57F0" w:rsidRDefault="00B47B37" w:rsidP="00B47B37">
      <w:pPr>
        <w:pStyle w:val="Default"/>
        <w:rPr>
          <w:rFonts w:asciiTheme="minorHAnsi" w:hAnsiTheme="minorHAnsi" w:cs="Times New Roman"/>
          <w:color w:val="auto"/>
        </w:rPr>
      </w:pPr>
    </w:p>
    <w:p w:rsidR="00A11F3E" w:rsidRDefault="00B47B37" w:rsidP="00B47B37">
      <w:pPr>
        <w:pStyle w:val="Default"/>
        <w:numPr>
          <w:ilvl w:val="0"/>
          <w:numId w:val="14"/>
        </w:numPr>
        <w:ind w:left="720" w:hanging="720"/>
        <w:rPr>
          <w:rFonts w:asciiTheme="minorHAnsi" w:hAnsiTheme="minorHAnsi" w:cs="Times New Roman"/>
          <w:color w:val="auto"/>
        </w:rPr>
      </w:pPr>
      <w:r w:rsidRPr="009B57F0">
        <w:rPr>
          <w:rFonts w:asciiTheme="minorHAnsi" w:hAnsiTheme="minorHAnsi" w:cs="Times New Roman"/>
          <w:color w:val="auto"/>
        </w:rPr>
        <w:t>Subawards</w:t>
      </w:r>
    </w:p>
    <w:p w:rsidR="00A11F3E" w:rsidRDefault="00A11F3E" w:rsidP="00A11F3E">
      <w:pPr>
        <w:pStyle w:val="ListParagraph"/>
        <w:rPr>
          <w:rFonts w:asciiTheme="minorHAnsi" w:hAnsiTheme="minorHAnsi"/>
        </w:rPr>
      </w:pPr>
    </w:p>
    <w:p w:rsidR="00A11F3E" w:rsidRPr="00A11F3E" w:rsidRDefault="00A11F3E" w:rsidP="00A11F3E">
      <w:pPr>
        <w:pStyle w:val="ListParagraph"/>
        <w:numPr>
          <w:ilvl w:val="0"/>
          <w:numId w:val="14"/>
        </w:numPr>
        <w:jc w:val="both"/>
        <w:rPr>
          <w:rFonts w:asciiTheme="minorHAnsi" w:hAnsiTheme="minorHAnsi"/>
        </w:rPr>
      </w:pPr>
      <w:r w:rsidRPr="00A11F3E">
        <w:rPr>
          <w:rFonts w:asciiTheme="minorHAnsi" w:hAnsiTheme="minorHAnsi"/>
        </w:rPr>
        <w:t>Enhanced U.S. Competitiveness</w:t>
      </w:r>
    </w:p>
    <w:p w:rsidR="00B47B37" w:rsidRPr="009B57F0" w:rsidRDefault="00B47B37" w:rsidP="00A11F3E">
      <w:pPr>
        <w:pStyle w:val="Default"/>
        <w:ind w:left="720"/>
        <w:rPr>
          <w:rFonts w:asciiTheme="minorHAnsi" w:hAnsiTheme="minorHAnsi" w:cs="Times New Roman"/>
          <w:color w:val="auto"/>
        </w:rPr>
      </w:pPr>
      <w:r w:rsidRPr="009B57F0">
        <w:rPr>
          <w:rFonts w:asciiTheme="minorHAnsi" w:hAnsiTheme="minorHAnsi" w:cs="Times New Roman"/>
          <w:color w:val="auto"/>
        </w:rPr>
        <w:br/>
      </w: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NOTE: In reading these provisions, any reference to “</w:t>
      </w:r>
      <w:r w:rsidRPr="009B57F0">
        <w:rPr>
          <w:rFonts w:asciiTheme="minorHAnsi" w:hAnsiTheme="minorHAnsi" w:cs="Times New Roman"/>
          <w:i/>
          <w:color w:val="auto"/>
        </w:rPr>
        <w:t>Contractor</w:t>
      </w:r>
      <w:r w:rsidRPr="009B57F0">
        <w:rPr>
          <w:rFonts w:asciiTheme="minorHAnsi" w:hAnsiTheme="minorHAnsi" w:cs="Times New Roman"/>
          <w:color w:val="auto"/>
        </w:rPr>
        <w:t>” shall mean “</w:t>
      </w:r>
      <w:r w:rsidRPr="009B57F0">
        <w:rPr>
          <w:rFonts w:asciiTheme="minorHAnsi" w:hAnsiTheme="minorHAnsi" w:cs="Times New Roman"/>
          <w:i/>
          <w:color w:val="auto"/>
        </w:rPr>
        <w:t>Recipient</w:t>
      </w:r>
      <w:r w:rsidRPr="009B57F0">
        <w:rPr>
          <w:rFonts w:asciiTheme="minorHAnsi" w:hAnsiTheme="minorHAnsi" w:cs="Times New Roman"/>
          <w:color w:val="auto"/>
        </w:rPr>
        <w:t>,” and any reference to “</w:t>
      </w:r>
      <w:r w:rsidRPr="009B57F0">
        <w:rPr>
          <w:rFonts w:asciiTheme="minorHAnsi" w:hAnsiTheme="minorHAnsi" w:cs="Times New Roman"/>
          <w:i/>
          <w:color w:val="auto"/>
        </w:rPr>
        <w:t>contract</w:t>
      </w:r>
      <w:r w:rsidRPr="009B57F0">
        <w:rPr>
          <w:rFonts w:asciiTheme="minorHAnsi" w:hAnsiTheme="minorHAnsi" w:cs="Times New Roman"/>
          <w:color w:val="auto"/>
        </w:rPr>
        <w:t>” or “</w:t>
      </w:r>
      <w:r w:rsidRPr="009B57F0">
        <w:rPr>
          <w:rFonts w:asciiTheme="minorHAnsi" w:hAnsiTheme="minorHAnsi" w:cs="Times New Roman"/>
          <w:i/>
          <w:color w:val="auto"/>
        </w:rPr>
        <w:t>subcontract</w:t>
      </w:r>
      <w:r w:rsidRPr="009B57F0">
        <w:rPr>
          <w:rFonts w:asciiTheme="minorHAnsi" w:hAnsiTheme="minorHAnsi" w:cs="Times New Roman"/>
          <w:color w:val="auto"/>
        </w:rPr>
        <w:t>” shall mean “</w:t>
      </w:r>
      <w:r w:rsidRPr="009B57F0">
        <w:rPr>
          <w:rFonts w:asciiTheme="minorHAnsi" w:hAnsiTheme="minorHAnsi" w:cs="Times New Roman"/>
          <w:i/>
          <w:color w:val="auto"/>
        </w:rPr>
        <w:t>award</w:t>
      </w:r>
      <w:r w:rsidRPr="009B57F0">
        <w:rPr>
          <w:rFonts w:asciiTheme="minorHAnsi" w:hAnsiTheme="minorHAnsi" w:cs="Times New Roman"/>
          <w:color w:val="auto"/>
        </w:rPr>
        <w:t>” or “</w:t>
      </w:r>
      <w:r w:rsidRPr="009B57F0">
        <w:rPr>
          <w:rFonts w:asciiTheme="minorHAnsi" w:hAnsiTheme="minorHAnsi" w:cs="Times New Roman"/>
          <w:i/>
          <w:color w:val="auto"/>
        </w:rPr>
        <w:t>subaward</w:t>
      </w:r>
      <w:r w:rsidRPr="009B57F0">
        <w:rPr>
          <w:rFonts w:asciiTheme="minorHAnsi" w:hAnsiTheme="minorHAnsi" w:cs="Times New Roman"/>
          <w:color w:val="auto"/>
        </w:rPr>
        <w:t xml:space="preserve">.” </w:t>
      </w:r>
    </w:p>
    <w:p w:rsidR="00B47B37" w:rsidRPr="009B57F0" w:rsidRDefault="00B47B37" w:rsidP="00B47B37">
      <w:pPr>
        <w:pStyle w:val="Default"/>
        <w:spacing w:line="283" w:lineRule="atLeast"/>
        <w:rPr>
          <w:rFonts w:asciiTheme="minorHAnsi" w:hAnsiTheme="minorHAnsi" w:cs="Times New Roman"/>
          <w:color w:val="auto"/>
        </w:rPr>
      </w:pP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B47B37" w:rsidRPr="009B57F0" w:rsidRDefault="00B47B37" w:rsidP="00B47B37">
      <w:pPr>
        <w:widowControl/>
        <w:autoSpaceDE/>
        <w:autoSpaceDN/>
        <w:adjustRightInd/>
        <w:spacing w:after="200" w:line="276" w:lineRule="auto"/>
        <w:rPr>
          <w:rFonts w:asciiTheme="minorHAnsi" w:hAnsiTheme="minorHAnsi"/>
          <w:b/>
        </w:rPr>
      </w:pPr>
      <w:r w:rsidRPr="009B57F0">
        <w:rPr>
          <w:rFonts w:asciiTheme="minorHAnsi" w:hAnsiTheme="minorHAnsi"/>
          <w:spacing w:val="-1"/>
        </w:rPr>
        <w:br w:type="page"/>
      </w:r>
      <w:bookmarkStart w:id="0" w:name="_GoBack"/>
      <w:bookmarkEnd w:id="0"/>
    </w:p>
    <w:p w:rsidR="00B47B37" w:rsidRPr="009B57F0" w:rsidRDefault="00B47B37" w:rsidP="00B47B37">
      <w:pPr>
        <w:pStyle w:val="BodyText"/>
        <w:kinsoku w:val="0"/>
        <w:overflowPunct w:val="0"/>
        <w:ind w:left="0" w:firstLine="0"/>
        <w:rPr>
          <w:rFonts w:asciiTheme="minorHAnsi" w:hAnsiTheme="minorHAnsi"/>
          <w:spacing w:val="-1"/>
          <w:sz w:val="24"/>
          <w:szCs w:val="24"/>
        </w:rPr>
      </w:pPr>
      <w:r w:rsidRPr="009B57F0">
        <w:rPr>
          <w:rFonts w:asciiTheme="minorHAnsi" w:hAnsiTheme="minorHAnsi"/>
          <w:sz w:val="24"/>
          <w:szCs w:val="24"/>
        </w:rPr>
        <w:lastRenderedPageBreak/>
        <w:t xml:space="preserve">A </w:t>
      </w:r>
      <w:r w:rsidRPr="009B57F0">
        <w:rPr>
          <w:rFonts w:asciiTheme="minorHAnsi" w:hAnsiTheme="minorHAnsi"/>
          <w:spacing w:val="-1"/>
          <w:sz w:val="24"/>
          <w:szCs w:val="24"/>
        </w:rPr>
        <w:t>Non-Federal</w:t>
      </w:r>
      <w:r w:rsidRPr="009B57F0">
        <w:rPr>
          <w:rFonts w:asciiTheme="minorHAnsi" w:hAnsiTheme="minorHAnsi"/>
          <w:sz w:val="24"/>
          <w:szCs w:val="24"/>
        </w:rPr>
        <w:t xml:space="preserve"> </w:t>
      </w:r>
      <w:r w:rsidRPr="009B57F0">
        <w:rPr>
          <w:rFonts w:asciiTheme="minorHAnsi" w:hAnsiTheme="minorHAnsi"/>
          <w:spacing w:val="-1"/>
          <w:sz w:val="24"/>
          <w:szCs w:val="24"/>
        </w:rPr>
        <w:t>Entity</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intellectual</w:t>
      </w:r>
      <w:r w:rsidRPr="009B57F0">
        <w:rPr>
          <w:rFonts w:asciiTheme="minorHAnsi" w:hAnsiTheme="minorHAnsi"/>
          <w:sz w:val="24"/>
          <w:szCs w:val="24"/>
        </w:rPr>
        <w:t xml:space="preserve"> </w:t>
      </w:r>
      <w:r w:rsidRPr="009B57F0">
        <w:rPr>
          <w:rFonts w:asciiTheme="minorHAnsi" w:hAnsiTheme="minorHAnsi"/>
          <w:spacing w:val="-1"/>
          <w:sz w:val="24"/>
          <w:szCs w:val="24"/>
        </w:rPr>
        <w:t>property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Default="00B47B37"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r w:rsidRPr="009B57F0">
        <w:rPr>
          <w:rFonts w:asciiTheme="minorHAnsi" w:hAnsiTheme="minorHAnsi"/>
          <w:spacing w:val="-1"/>
          <w:sz w:val="24"/>
          <w:szCs w:val="24"/>
        </w:rPr>
        <w:t>Intangible</w:t>
      </w:r>
      <w:r w:rsidRPr="009B57F0">
        <w:rPr>
          <w:rFonts w:asciiTheme="minorHAnsi" w:hAnsiTheme="minorHAnsi"/>
          <w:sz w:val="24"/>
          <w:szCs w:val="24"/>
        </w:rPr>
        <w:t xml:space="preserve"> </w:t>
      </w:r>
      <w:r w:rsidRPr="009B57F0">
        <w:rPr>
          <w:rFonts w:asciiTheme="minorHAnsi" w:hAnsiTheme="minorHAnsi"/>
          <w:spacing w:val="-1"/>
          <w:sz w:val="24"/>
          <w:szCs w:val="24"/>
        </w:rPr>
        <w:t>Property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Pr="009B57F0" w:rsidRDefault="00B47B37" w:rsidP="00B47B37">
      <w:pPr>
        <w:pStyle w:val="BodyText"/>
        <w:kinsoku w:val="0"/>
        <w:overflowPunct w:val="0"/>
        <w:spacing w:before="2"/>
        <w:ind w:left="0" w:firstLine="0"/>
        <w:rPr>
          <w:rFonts w:asciiTheme="minorHAnsi" w:hAnsiTheme="minorHAnsi"/>
          <w:b/>
          <w:bCs/>
          <w:sz w:val="24"/>
          <w:szCs w:val="24"/>
        </w:rPr>
      </w:pPr>
    </w:p>
    <w:p w:rsidR="00B47B37" w:rsidRPr="00002BFA"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B47B37" w:rsidRPr="009B57F0" w:rsidRDefault="00B47B37" w:rsidP="00B47B37">
      <w:pPr>
        <w:pStyle w:val="BodyText"/>
        <w:kinsoku w:val="0"/>
        <w:overflowPunct w:val="0"/>
        <w:spacing w:before="10"/>
        <w:ind w:left="720" w:hanging="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Federal government has the right to:</w:t>
      </w:r>
    </w:p>
    <w:p w:rsidR="00B47B37" w:rsidRPr="00002BFA" w:rsidRDefault="00B47B37" w:rsidP="00B47B37">
      <w:pPr>
        <w:pStyle w:val="ListParagraph"/>
        <w:rPr>
          <w:rStyle w:val="p"/>
          <w:rFonts w:asciiTheme="minorHAnsi" w:hAnsiTheme="minorHAnsi"/>
          <w:color w:val="000000"/>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Obtain, reproduce, publish, or otherwise use the data produced under a Federal award; and</w:t>
      </w:r>
    </w:p>
    <w:p w:rsidR="00B47B37" w:rsidRPr="009B57F0" w:rsidRDefault="00B47B37" w:rsidP="00B47B37">
      <w:pPr>
        <w:pStyle w:val="BodyText"/>
        <w:kinsoku w:val="0"/>
        <w:overflowPunct w:val="0"/>
        <w:spacing w:before="10"/>
        <w:ind w:left="1440" w:hanging="720"/>
        <w:rPr>
          <w:rStyle w:val="p"/>
          <w:rFonts w:asciiTheme="minorHAnsi" w:hAnsiTheme="minorHAnsi"/>
          <w:color w:val="000000"/>
          <w:sz w:val="24"/>
          <w:szCs w:val="24"/>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Authorize others to receive, reproduce, publish, or otherwise use such data for Federal purposes.</w:t>
      </w:r>
    </w:p>
    <w:p w:rsidR="00B47B37" w:rsidRPr="009B57F0" w:rsidRDefault="00B47B37" w:rsidP="00B47B37">
      <w:pPr>
        <w:pStyle w:val="BodyText"/>
        <w:kinsoku w:val="0"/>
        <w:overflowPunct w:val="0"/>
        <w:spacing w:before="10"/>
        <w:ind w:left="720" w:firstLine="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Freedom of Information Act (FOIA).</w:t>
      </w:r>
    </w:p>
    <w:p w:rsidR="00B47B37" w:rsidRPr="009B57F0" w:rsidRDefault="00B47B37" w:rsidP="00B47B37">
      <w:pPr>
        <w:pStyle w:val="BodyText"/>
        <w:kinsoku w:val="0"/>
        <w:overflowPunct w:val="0"/>
        <w:spacing w:before="10"/>
        <w:ind w:left="72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002BFA">
        <w:rPr>
          <w:rStyle w:val="p"/>
          <w:rFonts w:asciiTheme="minorHAnsi" w:hAnsiTheme="minorHAnsi"/>
          <w:color w:val="000000"/>
          <w:sz w:val="24"/>
          <w:szCs w:val="24"/>
        </w:rPr>
        <w:lastRenderedPageBreak/>
        <w:t>obtaining the research data. This fee should reflect costs incurred by the Federal agency and the non-Federal entity. This fee is in addition to any fees the Federal awarding agency may assess under the FOIA (5 U.S.C. 552(a)(4)(A)).</w:t>
      </w:r>
    </w:p>
    <w:p w:rsidR="00B47B37" w:rsidRPr="00002BFA" w:rsidRDefault="00B47B37" w:rsidP="00B47B37">
      <w:pPr>
        <w:pStyle w:val="BodyText"/>
        <w:kinsoku w:val="0"/>
        <w:overflowPunct w:val="0"/>
        <w:spacing w:before="10"/>
        <w:ind w:left="180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Published research findings means when:</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Research findings are published in a peer-reviewed scientific or technical journal; or</w:t>
      </w:r>
    </w:p>
    <w:p w:rsidR="00B47B37" w:rsidRPr="009B57F0" w:rsidRDefault="00B47B37" w:rsidP="00B47B37">
      <w:pPr>
        <w:pStyle w:val="BodyText"/>
        <w:kinsoku w:val="0"/>
        <w:overflowPunct w:val="0"/>
        <w:spacing w:before="10"/>
        <w:ind w:left="2160" w:hanging="72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B47B37" w:rsidRPr="00002BFA" w:rsidRDefault="00B47B37" w:rsidP="00B47B37">
      <w:pPr>
        <w:pStyle w:val="BodyText"/>
        <w:kinsoku w:val="0"/>
        <w:overflowPunct w:val="0"/>
        <w:spacing w:before="10"/>
        <w:ind w:left="2520" w:firstLine="0"/>
        <w:rPr>
          <w:rStyle w:val="p"/>
          <w:rFonts w:asciiTheme="minorHAnsi" w:hAnsiTheme="minorHAnsi"/>
          <w:sz w:val="24"/>
          <w:szCs w:val="24"/>
        </w:rPr>
      </w:pPr>
    </w:p>
    <w:p w:rsidR="00B47B37" w:rsidRPr="009B57F0"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after="24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Trade secrets, commercial information, materials necessary to be held confidential by a researcher until they are published, or similar information which is protected under law; and</w:t>
      </w: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Personnel and medical information and similar information the disclosure of which would constitute a clearly unwarranted invasion of personal privacy, such as information that could be used to identify a particular person in a research study.</w:t>
      </w:r>
    </w:p>
    <w:p w:rsidR="00B47B37" w:rsidRDefault="00B47B37" w:rsidP="00B47B37">
      <w:pPr>
        <w:pStyle w:val="BodyText"/>
        <w:kinsoku w:val="0"/>
        <w:overflowPunct w:val="0"/>
        <w:spacing w:before="10"/>
        <w:ind w:left="0" w:firstLine="0"/>
        <w:rPr>
          <w:rFonts w:asciiTheme="minorHAnsi" w:hAnsiTheme="minorHAnsi"/>
          <w:sz w:val="24"/>
          <w:szCs w:val="24"/>
        </w:rPr>
      </w:pPr>
    </w:p>
    <w:p w:rsidR="00CD7B0C" w:rsidRPr="009B57F0" w:rsidRDefault="00CD7B0C"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bookmarkStart w:id="1" w:name="37_CFR_401.14___Standard_Patent_Rights_C"/>
      <w:bookmarkEnd w:id="1"/>
      <w:r w:rsidRPr="009B57F0">
        <w:rPr>
          <w:rFonts w:asciiTheme="minorHAnsi" w:hAnsiTheme="minorHAnsi"/>
          <w:spacing w:val="-1"/>
          <w:sz w:val="24"/>
          <w:szCs w:val="24"/>
        </w:rPr>
        <w:t>Standard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z w:val="24"/>
          <w:szCs w:val="24"/>
        </w:rPr>
        <w:t xml:space="preserve"> </w:t>
      </w:r>
      <w:r w:rsidRPr="009B57F0">
        <w:rPr>
          <w:rFonts w:asciiTheme="minorHAnsi" w:hAnsiTheme="minorHAnsi"/>
          <w:spacing w:val="-1"/>
          <w:sz w:val="24"/>
          <w:szCs w:val="24"/>
        </w:rPr>
        <w:t>Clauses (37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401.14</w:t>
      </w:r>
      <w:r w:rsidRPr="009B57F0">
        <w:rPr>
          <w:rFonts w:asciiTheme="minorHAnsi" w:hAnsiTheme="minorHAnsi"/>
          <w:sz w:val="24"/>
          <w:szCs w:val="24"/>
        </w:rPr>
        <w:t>)</w:t>
      </w:r>
    </w:p>
    <w:p w:rsidR="00B47B37" w:rsidRPr="009B57F0" w:rsidRDefault="00B47B37" w:rsidP="00B47B37">
      <w:pPr>
        <w:pStyle w:val="BodyText"/>
        <w:kinsoku w:val="0"/>
        <w:overflowPunct w:val="0"/>
        <w:spacing w:before="10"/>
        <w:ind w:left="0" w:firstLine="0"/>
        <w:rPr>
          <w:rFonts w:asciiTheme="minorHAnsi" w:hAnsiTheme="minorHAnsi"/>
          <w:b/>
          <w:bCs/>
          <w:sz w:val="24"/>
          <w:szCs w:val="24"/>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bookmarkStart w:id="2" w:name="(a)_Definitions"/>
      <w:bookmarkEnd w:id="2"/>
      <w:r w:rsidRPr="00A11F3E">
        <w:rPr>
          <w:rFonts w:asciiTheme="minorHAnsi" w:hAnsiTheme="minorHAnsi" w:cs="Arial"/>
          <w:spacing w:val="-1"/>
        </w:rPr>
        <w:t>Definitions</w:t>
      </w:r>
    </w:p>
    <w:p w:rsidR="00703E9C" w:rsidRPr="00A11F3E" w:rsidRDefault="00703E9C" w:rsidP="00703E9C">
      <w:pPr>
        <w:kinsoku w:val="0"/>
        <w:overflowPunct w:val="0"/>
        <w:spacing w:before="2"/>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Invention</w:t>
      </w:r>
      <w:r w:rsidRPr="00A11F3E">
        <w:rPr>
          <w:rFonts w:asciiTheme="minorHAnsi" w:hAnsiTheme="minorHAnsi" w:cs="Arial"/>
          <w:spacing w:val="-1"/>
        </w:rPr>
        <w:t xml:space="preserve"> means any invention or discovery which is or may be patentable or otherwise protectable under Title 35 of the United States Code, or any novel variety of plant which is or may be protected under the Plant Var</w:t>
      </w:r>
      <w:r w:rsidR="009B7E0B">
        <w:rPr>
          <w:rFonts w:asciiTheme="minorHAnsi" w:hAnsiTheme="minorHAnsi" w:cs="Arial"/>
          <w:spacing w:val="-1"/>
        </w:rPr>
        <w:t>iety Protection Act (</w:t>
      </w:r>
      <w:r w:rsidRPr="00A11F3E">
        <w:rPr>
          <w:rFonts w:asciiTheme="minorHAnsi" w:hAnsiTheme="minorHAnsi" w:cs="Arial"/>
          <w:spacing w:val="-1"/>
        </w:rPr>
        <w:t>7 U.S.C. 2321et seq.).</w:t>
      </w:r>
    </w:p>
    <w:p w:rsidR="00A11F3E" w:rsidRPr="00A11F3E" w:rsidRDefault="00A11F3E"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Subject invention</w:t>
      </w:r>
      <w:r w:rsidRPr="00A11F3E">
        <w:rPr>
          <w:rFonts w:asciiTheme="minorHAnsi" w:hAnsiTheme="minorHAnsi" w:cs="Arial"/>
          <w:spacing w:val="-1"/>
        </w:rPr>
        <w:t xml:space="preserve"> means any invention of the contractor conceived or first actually </w:t>
      </w:r>
      <w:r w:rsidRPr="00A11F3E">
        <w:rPr>
          <w:rFonts w:asciiTheme="minorHAnsi" w:hAnsiTheme="minorHAnsi" w:cs="Arial"/>
          <w:spacing w:val="-1"/>
        </w:rPr>
        <w:lastRenderedPageBreak/>
        <w:t>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A11F3E" w:rsidRPr="00A11F3E" w:rsidRDefault="00A11F3E"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Practical Application</w:t>
      </w:r>
      <w:r w:rsidRPr="00A11F3E">
        <w:rPr>
          <w:rFonts w:asciiTheme="minorHAnsi" w:hAnsiTheme="minorHAns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D73447" w:rsidRPr="00A11F3E" w:rsidRDefault="00D73447"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 xml:space="preserve">Made </w:t>
      </w:r>
      <w:r w:rsidRPr="00A11F3E">
        <w:rPr>
          <w:rFonts w:asciiTheme="minorHAnsi" w:hAnsiTheme="minorHAnsi" w:cs="Arial"/>
          <w:spacing w:val="-1"/>
        </w:rPr>
        <w:t>when used in relation to any invention means the conception or first actual reduction to practice of such invention.</w:t>
      </w:r>
    </w:p>
    <w:p w:rsidR="00D73447" w:rsidRPr="00A11F3E" w:rsidRDefault="00D73447"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Small Business Firm</w:t>
      </w:r>
      <w:r w:rsidRPr="00A11F3E">
        <w:rPr>
          <w:rFonts w:asciiTheme="minorHAnsi" w:hAnsiTheme="minorHAnsi" w:cs="Arial"/>
          <w:spacing w:val="-1"/>
        </w:rPr>
        <w:t xml:space="preserve"> means a small business concern as defined at section 2 of</w:t>
      </w:r>
      <w:r w:rsidR="009B7E0B">
        <w:rPr>
          <w:rFonts w:asciiTheme="minorHAnsi" w:hAnsiTheme="minorHAnsi" w:cs="Arial"/>
          <w:spacing w:val="-1"/>
        </w:rPr>
        <w:t xml:space="preserve"> Pub. L. 85-536 (</w:t>
      </w:r>
      <w:r w:rsidRPr="00A11F3E">
        <w:rPr>
          <w:rFonts w:asciiTheme="minorHAnsi" w:hAnsiTheme="minorHAns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D73447" w:rsidRPr="00A11F3E" w:rsidRDefault="00D73447"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Nonprofit Organization</w:t>
      </w:r>
      <w:r w:rsidRPr="00A11F3E">
        <w:rPr>
          <w:rFonts w:asciiTheme="minorHAnsi" w:hAnsiTheme="minorHAnsi" w:cs="Arial"/>
          <w:spacing w:val="-1"/>
        </w:rPr>
        <w:t xml:space="preserve"> means a university or other institution of higher education or an organization of the type described in section 501(c)(3) of the Internal Revenue Code of 1954 (26 U.S.C. 501(c) and exempt from taxation under section 501(a) of the Internal Revenue Code (25 U.S.C. 501(a)) or any nonprofit scientific or educational organization qualified under a state nonprofit organization statute.</w:t>
      </w:r>
    </w:p>
    <w:p w:rsidR="00D73447" w:rsidRPr="00A11F3E" w:rsidRDefault="00D73447" w:rsidP="00703E9C">
      <w:pPr>
        <w:kinsoku w:val="0"/>
        <w:overflowPunct w:val="0"/>
        <w:spacing w:before="2"/>
        <w:ind w:left="720"/>
        <w:rPr>
          <w:rFonts w:asciiTheme="minorHAnsi" w:hAnsiTheme="minorHAnsi" w:cs="Arial"/>
          <w:spacing w:val="-1"/>
        </w:rPr>
      </w:pPr>
    </w:p>
    <w:p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The term statutory period</w:t>
      </w:r>
      <w:r w:rsidRPr="00A11F3E">
        <w:rPr>
          <w:rFonts w:asciiTheme="minorHAnsi" w:hAnsiTheme="minorHAnsi" w:cs="Arial"/>
          <w:spacing w:val="-1"/>
        </w:rPr>
        <w:t xml:space="preserve"> means the one-year period before the effective filing date of a claimed invention during which exceptions to prior art exist per 35 U.S.C. 102(b) as amended by the Leahy-Smith America Invents Act, Public Law 112-29.</w:t>
      </w:r>
    </w:p>
    <w:p w:rsidR="00703E9C" w:rsidRPr="00A11F3E" w:rsidRDefault="00703E9C" w:rsidP="00703E9C">
      <w:pPr>
        <w:kinsoku w:val="0"/>
        <w:overflowPunct w:val="0"/>
        <w:spacing w:before="2"/>
        <w:ind w:left="720"/>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The term contractor</w:t>
      </w:r>
      <w:r w:rsidRPr="00A11F3E">
        <w:rPr>
          <w:rFonts w:asciiTheme="minorHAnsi" w:hAnsiTheme="minorHAns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rsidR="00D73447" w:rsidRPr="00A11F3E" w:rsidRDefault="00D73447"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Allocation of Principal Rights</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lastRenderedPageBreak/>
        <w:t>Invention Disclosure, Election of Title and Filing of Patent Application by Contractor</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kinsoku w:val="0"/>
        <w:overflowPunct w:val="0"/>
        <w:spacing w:before="2"/>
        <w:ind w:left="1080" w:hanging="360"/>
        <w:rPr>
          <w:rFonts w:asciiTheme="minorHAnsi" w:hAnsiTheme="minorHAnsi" w:cs="Arial"/>
          <w:spacing w:val="-1"/>
        </w:rPr>
      </w:pPr>
      <w:r w:rsidRPr="00A11F3E">
        <w:rPr>
          <w:rFonts w:asciiTheme="minorHAnsi" w:hAnsiTheme="minorHAnsi" w:cs="Arial"/>
          <w:spacing w:val="-1"/>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9B7E0B">
        <w:rPr>
          <w:rFonts w:asciiTheme="minorHAnsi" w:hAnsiTheme="minorHAnsi" w:cs="Arial"/>
          <w:spacing w:val="-1"/>
        </w:rPr>
        <w:t xml:space="preserve"> </w:t>
      </w:r>
      <w:r w:rsidRPr="00A11F3E">
        <w:rPr>
          <w:rFonts w:asciiTheme="minorHAnsi" w:hAnsiTheme="minorHAnsi" w:cs="Arial"/>
          <w:spacing w:val="-1"/>
        </w:rPr>
        <w:t>35 U.S.C. 202(a).</w:t>
      </w:r>
    </w:p>
    <w:p w:rsidR="00703E9C" w:rsidRPr="00A11F3E" w:rsidRDefault="00703E9C" w:rsidP="00703E9C">
      <w:pPr>
        <w:pStyle w:val="ListParagraph"/>
        <w:numPr>
          <w:ilvl w:val="0"/>
          <w:numId w:val="29"/>
        </w:numPr>
        <w:tabs>
          <w:tab w:val="left" w:pos="1170"/>
        </w:tabs>
        <w:kinsoku w:val="0"/>
        <w:overflowPunct w:val="0"/>
        <w:spacing w:before="2"/>
        <w:rPr>
          <w:rFonts w:asciiTheme="minorHAnsi" w:hAnsiTheme="minorHAnsi" w:cs="Arial"/>
          <w:spacing w:val="-1"/>
        </w:rPr>
      </w:pPr>
      <w:r w:rsidRPr="00A11F3E">
        <w:rPr>
          <w:rFonts w:asciiTheme="minorHAnsi" w:hAnsiTheme="minorHAnsi" w:cs="Arial"/>
          <w:spacing w:val="-1"/>
        </w:rPr>
        <w:lastRenderedPageBreak/>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703E9C" w:rsidRPr="00A11F3E" w:rsidRDefault="00703E9C" w:rsidP="00703E9C">
      <w:pPr>
        <w:pStyle w:val="ListParagraph"/>
        <w:tabs>
          <w:tab w:val="left" w:pos="1170"/>
        </w:tabs>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Conditions When the Government May Obtain Title</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will convey to the Federal agency, upon written request, title to any subject invention:</w:t>
      </w:r>
    </w:p>
    <w:p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If the contractor fails to disclose or elect title to the subject invention within the times specified in paragraph (c) of this clause, or elects not to retain title.</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Minimum Rights to Contractor and Protection of the Contractor Right to File</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w:t>
      </w:r>
      <w:r w:rsidRPr="00A11F3E">
        <w:rPr>
          <w:rFonts w:asciiTheme="minorHAnsi" w:hAnsiTheme="minorHAnsi" w:cs="Arial"/>
          <w:spacing w:val="-1"/>
        </w:rPr>
        <w:lastRenderedPageBreak/>
        <w:t>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Contractor Action to Protect the Government's Interest</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2"/>
        </w:numPr>
        <w:tabs>
          <w:tab w:val="left" w:pos="1350"/>
        </w:tabs>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For each subject invention, the contractor will, no less than 60 days prior to the expiration of the statutory deadline, notify the Federal agency of any decision: Not to </w:t>
      </w:r>
      <w:r w:rsidRPr="00A11F3E">
        <w:rPr>
          <w:rFonts w:asciiTheme="minorHAnsi" w:hAnsiTheme="minorHAnsi" w:cs="Arial"/>
          <w:spacing w:val="-1"/>
        </w:rPr>
        <w:lastRenderedPageBreak/>
        <w:t>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Subcontracts</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will include in all other subcontracts, regardless of tier, for experimental developmental or research work the patent rights clause required by 2 CFR 910.362(c).</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703E9C" w:rsidRPr="00A11F3E" w:rsidRDefault="00703E9C" w:rsidP="00703E9C">
      <w:pPr>
        <w:kinsoku w:val="0"/>
        <w:overflowPunct w:val="0"/>
        <w:spacing w:before="2"/>
        <w:ind w:left="1080"/>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Reporting on Utilization of Subject Inventions</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 xml:space="preserve">The Contractor agrees to submit on request periodic reports no more frequently than annually on the utilization of a subject invention or on efforts at obtaining such utilization </w:t>
      </w:r>
      <w:r w:rsidRPr="00A11F3E">
        <w:rPr>
          <w:rFonts w:asciiTheme="minorHAnsi" w:hAnsiTheme="minorHAnsi" w:cs="Arial"/>
          <w:spacing w:val="-1"/>
        </w:rPr>
        <w:lastRenderedPageBreak/>
        <w:t>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Preference for United States Industry</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March-in Rights</w:t>
      </w:r>
    </w:p>
    <w:p w:rsidR="00703E9C" w:rsidRPr="00A11F3E" w:rsidRDefault="00703E9C" w:rsidP="00703E9C">
      <w:pPr>
        <w:kinsoku w:val="0"/>
        <w:overflowPunct w:val="0"/>
        <w:spacing w:before="2"/>
        <w:rPr>
          <w:rFonts w:asciiTheme="minorHAnsi" w:hAnsiTheme="minorHAnsi" w:cs="Arial"/>
          <w:spacing w:val="-1"/>
        </w:rPr>
      </w:pPr>
    </w:p>
    <w:p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D73447" w:rsidRPr="00A11F3E" w:rsidRDefault="00D73447"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because the contractor or assignee has not taken, or is not expected to take within a reasonable time, effective steps to achieve practical application of the subject invention in such field of use.</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to alleviate health or safety needs which are not reasonably satisfied by the contractor, assignee or their licensees;</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to meet requirements for public use specified by Federal regulations and such requirements are not reasonably satisfied by the contractor, assignee or licensees; or</w:t>
      </w:r>
    </w:p>
    <w:p w:rsidR="00703E9C" w:rsidRPr="00A11F3E" w:rsidRDefault="00703E9C" w:rsidP="00703E9C">
      <w:pPr>
        <w:kinsoku w:val="0"/>
        <w:overflowPunct w:val="0"/>
        <w:spacing w:before="2"/>
        <w:ind w:left="720"/>
        <w:rPr>
          <w:rFonts w:asciiTheme="minorHAnsi" w:hAnsiTheme="minorHAnsi" w:cs="Arial"/>
          <w:spacing w:val="-1"/>
        </w:rPr>
      </w:pPr>
    </w:p>
    <w:p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 xml:space="preserve">Special Provisions for Contracts with Nonprofit Organizations </w:t>
      </w:r>
    </w:p>
    <w:p w:rsidR="00703E9C" w:rsidRPr="00A11F3E" w:rsidRDefault="00703E9C" w:rsidP="00703E9C">
      <w:pPr>
        <w:kinsoku w:val="0"/>
        <w:overflowPunct w:val="0"/>
        <w:spacing w:before="2"/>
        <w:rPr>
          <w:rFonts w:asciiTheme="minorHAnsi" w:hAnsiTheme="minorHAnsi" w:cs="Arial"/>
          <w:spacing w:val="-1"/>
        </w:rPr>
      </w:pPr>
    </w:p>
    <w:p w:rsidR="00703E9C" w:rsidRPr="00A11F3E" w:rsidRDefault="00703E9C" w:rsidP="00703E9C">
      <w:pPr>
        <w:kinsoku w:val="0"/>
        <w:overflowPunct w:val="0"/>
        <w:spacing w:before="2"/>
        <w:ind w:left="810"/>
        <w:rPr>
          <w:rFonts w:asciiTheme="minorHAnsi" w:hAnsiTheme="minorHAnsi" w:cs="Arial"/>
          <w:spacing w:val="-1"/>
        </w:rPr>
      </w:pPr>
      <w:r w:rsidRPr="00A11F3E">
        <w:rPr>
          <w:rFonts w:asciiTheme="minorHAnsi" w:hAnsiTheme="minorHAnsi" w:cs="Arial"/>
          <w:spacing w:val="-1"/>
        </w:rPr>
        <w:t>If the contractor is a nonprofit organization, it agrees that:</w:t>
      </w:r>
    </w:p>
    <w:p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703E9C" w:rsidRPr="00A11F3E" w:rsidRDefault="00703E9C" w:rsidP="00703E9C">
      <w:pPr>
        <w:kinsoku w:val="0"/>
        <w:overflowPunct w:val="0"/>
        <w:spacing w:before="2"/>
        <w:ind w:left="810"/>
        <w:rPr>
          <w:rFonts w:asciiTheme="minorHAnsi" w:hAnsiTheme="minorHAnsi" w:cs="Arial"/>
          <w:spacing w:val="-1"/>
        </w:rPr>
      </w:pPr>
    </w:p>
    <w:p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share royalties collected on a subject invention with the inventor, including Federal employee co-inventors (when the agency deems it appropriate) when the subject invention is assigned in accord</w:t>
      </w:r>
      <w:r w:rsidR="009B7E0B">
        <w:rPr>
          <w:rFonts w:asciiTheme="minorHAnsi" w:hAnsiTheme="minorHAnsi" w:cs="Arial"/>
          <w:spacing w:val="-1"/>
        </w:rPr>
        <w:t>ance with 35 U.S.C. 202(e) and</w:t>
      </w:r>
      <w:r w:rsidRPr="00A11F3E">
        <w:rPr>
          <w:rFonts w:asciiTheme="minorHAnsi" w:hAnsiTheme="minorHAnsi" w:cs="Arial"/>
          <w:spacing w:val="-1"/>
        </w:rPr>
        <w:t xml:space="preserve"> 37 CFR 401.10;</w:t>
      </w:r>
    </w:p>
    <w:p w:rsidR="00703E9C" w:rsidRPr="00A11F3E" w:rsidRDefault="00703E9C" w:rsidP="00703E9C">
      <w:pPr>
        <w:kinsoku w:val="0"/>
        <w:overflowPunct w:val="0"/>
        <w:spacing w:before="2"/>
        <w:ind w:left="810"/>
        <w:rPr>
          <w:rFonts w:asciiTheme="minorHAnsi" w:hAnsiTheme="minorHAnsi" w:cs="Arial"/>
          <w:spacing w:val="-1"/>
        </w:rPr>
      </w:pPr>
    </w:p>
    <w:p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703E9C" w:rsidRPr="00A11F3E" w:rsidRDefault="00703E9C" w:rsidP="00703E9C">
      <w:pPr>
        <w:kinsoku w:val="0"/>
        <w:overflowPunct w:val="0"/>
        <w:spacing w:before="2"/>
        <w:ind w:left="810"/>
        <w:rPr>
          <w:rFonts w:asciiTheme="minorHAnsi" w:hAnsiTheme="minorHAnsi" w:cs="Arial"/>
          <w:spacing w:val="-1"/>
        </w:rPr>
      </w:pPr>
      <w:r w:rsidRPr="00A11F3E">
        <w:rPr>
          <w:rFonts w:asciiTheme="minorHAnsi" w:hAnsiTheme="minorHAnsi" w:cs="Arial"/>
          <w:spacing w:val="-1"/>
        </w:rPr>
        <w:t xml:space="preserve"> </w:t>
      </w:r>
    </w:p>
    <w:p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rsidR="00703E9C" w:rsidRPr="00A11F3E" w:rsidRDefault="00703E9C" w:rsidP="00703E9C">
      <w:pPr>
        <w:kinsoku w:val="0"/>
        <w:overflowPunct w:val="0"/>
        <w:spacing w:before="2"/>
        <w:rPr>
          <w:rFonts w:asciiTheme="minorHAnsi" w:hAnsiTheme="minorHAnsi" w:cs="Arial"/>
        </w:rPr>
      </w:pPr>
    </w:p>
    <w:p w:rsidR="00703E9C" w:rsidRPr="00A11F3E" w:rsidRDefault="00703E9C" w:rsidP="00703E9C">
      <w:pPr>
        <w:numPr>
          <w:ilvl w:val="0"/>
          <w:numId w:val="1"/>
        </w:numPr>
        <w:kinsoku w:val="0"/>
        <w:overflowPunct w:val="0"/>
        <w:spacing w:line="393" w:lineRule="auto"/>
        <w:ind w:left="720" w:right="3903" w:hanging="720"/>
        <w:rPr>
          <w:rFonts w:asciiTheme="minorHAnsi" w:hAnsiTheme="minorHAnsi" w:cs="Arial"/>
        </w:rPr>
      </w:pPr>
      <w:bookmarkStart w:id="3" w:name="(l)_Communication"/>
      <w:bookmarkEnd w:id="3"/>
      <w:r w:rsidRPr="00A11F3E">
        <w:rPr>
          <w:rFonts w:asciiTheme="minorHAnsi" w:hAnsiTheme="minorHAnsi" w:cs="Arial"/>
        </w:rPr>
        <w:t xml:space="preserve">Communication </w:t>
      </w:r>
    </w:p>
    <w:p w:rsidR="00703E9C" w:rsidRPr="00A11F3E" w:rsidRDefault="00703E9C" w:rsidP="00703E9C">
      <w:pPr>
        <w:kinsoku w:val="0"/>
        <w:overflowPunct w:val="0"/>
        <w:ind w:left="720" w:right="40"/>
        <w:rPr>
          <w:rFonts w:asciiTheme="minorHAnsi" w:hAnsiTheme="minorHAnsi" w:cs="Arial"/>
        </w:rPr>
      </w:pPr>
      <w:r w:rsidRPr="00A11F3E">
        <w:rPr>
          <w:rFonts w:asciiTheme="minorHAnsi" w:hAnsiTheme="minorHAnsi" w:cs="Arial"/>
        </w:rPr>
        <w:lastRenderedPageBreak/>
        <w:t xml:space="preserve">All communications required by this Patent Rights Clause should be sent to iEdison at </w:t>
      </w:r>
      <w:hyperlink r:id="rId8" w:history="1">
        <w:r w:rsidRPr="00A11F3E">
          <w:rPr>
            <w:rFonts w:asciiTheme="minorHAnsi" w:hAnsiTheme="minorHAnsi" w:cs="Arial"/>
            <w:color w:val="0000FF"/>
            <w:u w:val="single"/>
          </w:rPr>
          <w:t>https://s-edison.info.nih.gov/iEdison/</w:t>
        </w:r>
      </w:hyperlink>
      <w:r w:rsidRPr="00A11F3E">
        <w:rPr>
          <w:rFonts w:asciiTheme="minorHAnsi" w:hAnsiTheme="minorHAnsi" w:cs="Arial"/>
        </w:rPr>
        <w:t xml:space="preserve">. </w:t>
      </w:r>
    </w:p>
    <w:p w:rsidR="00703E9C" w:rsidRPr="00A11F3E" w:rsidRDefault="00703E9C" w:rsidP="00703E9C">
      <w:pPr>
        <w:kinsoku w:val="0"/>
        <w:overflowPunct w:val="0"/>
        <w:ind w:left="86" w:right="43" w:firstLine="490"/>
        <w:rPr>
          <w:rFonts w:asciiTheme="minorHAnsi" w:hAnsiTheme="minorHAnsi" w:cs="Arial"/>
        </w:rPr>
      </w:pPr>
    </w:p>
    <w:p w:rsidR="00703E9C" w:rsidRPr="00A11F3E" w:rsidRDefault="00703E9C" w:rsidP="00703E9C">
      <w:pPr>
        <w:numPr>
          <w:ilvl w:val="0"/>
          <w:numId w:val="1"/>
        </w:numPr>
        <w:ind w:left="720" w:hanging="720"/>
        <w:rPr>
          <w:rFonts w:asciiTheme="minorHAnsi" w:hAnsiTheme="minorHAnsi" w:cs="Arial"/>
        </w:rPr>
      </w:pPr>
      <w:r w:rsidRPr="00A11F3E">
        <w:rPr>
          <w:rFonts w:asciiTheme="minorHAnsi" w:hAnsiTheme="minorHAnsi" w:cs="Arial"/>
        </w:rPr>
        <w:t>Electronic Filing</w:t>
      </w:r>
    </w:p>
    <w:p w:rsidR="00703E9C" w:rsidRPr="00A11F3E" w:rsidRDefault="00703E9C" w:rsidP="00703E9C">
      <w:pPr>
        <w:ind w:left="720"/>
        <w:rPr>
          <w:rFonts w:asciiTheme="minorHAnsi" w:hAnsiTheme="minorHAnsi" w:cs="Arial"/>
        </w:rPr>
      </w:pPr>
    </w:p>
    <w:p w:rsidR="00703E9C" w:rsidRPr="00A11F3E" w:rsidRDefault="00703E9C" w:rsidP="00703E9C">
      <w:pPr>
        <w:pStyle w:val="CM16"/>
        <w:spacing w:line="240" w:lineRule="atLeast"/>
        <w:ind w:left="720" w:right="945"/>
        <w:rPr>
          <w:rFonts w:asciiTheme="minorHAnsi" w:hAnsiTheme="minorHAnsi"/>
        </w:rPr>
      </w:pPr>
      <w:r w:rsidRPr="00A11F3E">
        <w:rPr>
          <w:rFonts w:asciiTheme="minorHAnsi" w:hAnsiTheme="minorHAnsi"/>
        </w:rPr>
        <w:t xml:space="preserve">Unless otherwise specified in the award, the information identified in paragraphs (f)(2), (f)(3), (f)(5), (f)(6), and (f)(7) may be electronically filed. </w:t>
      </w:r>
    </w:p>
    <w:p w:rsidR="00B47B37" w:rsidRPr="009B57F0" w:rsidRDefault="00B47B37" w:rsidP="00B47B37">
      <w:pPr>
        <w:pStyle w:val="HTMLPreformatted"/>
        <w:rPr>
          <w:rFonts w:asciiTheme="minorHAnsi" w:hAnsiTheme="minorHAnsi" w:cs="Times New Roman"/>
          <w:b/>
          <w:sz w:val="24"/>
          <w:szCs w:val="24"/>
        </w:rPr>
      </w:pPr>
    </w:p>
    <w:p w:rsidR="00B47B37" w:rsidRPr="009B57F0" w:rsidRDefault="00B47B37" w:rsidP="00B47B37">
      <w:pPr>
        <w:pStyle w:val="HTMLPreformatted"/>
        <w:numPr>
          <w:ilvl w:val="0"/>
          <w:numId w:val="23"/>
        </w:numPr>
        <w:ind w:left="360"/>
        <w:rPr>
          <w:rFonts w:asciiTheme="minorHAnsi" w:hAnsiTheme="minorHAnsi" w:cs="Times New Roman"/>
          <w:sz w:val="24"/>
          <w:szCs w:val="24"/>
        </w:rPr>
      </w:pPr>
      <w:r w:rsidRPr="009B57F0">
        <w:rPr>
          <w:rFonts w:asciiTheme="minorHAnsi" w:hAnsiTheme="minorHAnsi" w:cs="Times New Roman"/>
          <w:b/>
          <w:sz w:val="24"/>
          <w:szCs w:val="24"/>
        </w:rPr>
        <w:t>Subawards</w:t>
      </w:r>
      <w:r w:rsidRPr="009B57F0">
        <w:rPr>
          <w:rFonts w:asciiTheme="minorHAnsi" w:hAnsiTheme="minorHAnsi" w:cs="Times New Roman"/>
          <w:sz w:val="24"/>
          <w:szCs w:val="24"/>
        </w:rPr>
        <w:t>.</w:t>
      </w:r>
    </w:p>
    <w:p w:rsidR="00B47B37" w:rsidRPr="009B57F0" w:rsidRDefault="00B47B37" w:rsidP="00B47B37">
      <w:pPr>
        <w:pStyle w:val="HTMLPreformatted"/>
        <w:ind w:left="318"/>
        <w:rPr>
          <w:rFonts w:asciiTheme="minorHAnsi" w:hAnsiTheme="minorHAnsi" w:cs="Times New Roman"/>
          <w:sz w:val="24"/>
          <w:szCs w:val="24"/>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(a)</w:t>
      </w:r>
      <w:r w:rsidRPr="00002BFA">
        <w:rPr>
          <w:rFonts w:asciiTheme="minorHAnsi" w:hAnsiTheme="minorHAnsi" w:cs="Times New Roman"/>
          <w:color w:val="auto"/>
        </w:rPr>
        <w:tab/>
        <w:t>Small Business Subawardees:  The Recipient shall incorporate all of the intellectual property provisions found in Attachment 2 (</w:t>
      </w:r>
      <w:r w:rsidR="00A11F3E" w:rsidRPr="00002BFA">
        <w:rPr>
          <w:rFonts w:asciiTheme="minorHAnsi" w:hAnsiTheme="minorHAnsi" w:cs="Times New Roman"/>
          <w:color w:val="auto"/>
        </w:rPr>
        <w:t>DOMESTIC SMALL BUSINESSES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9" w:history="1">
        <w:r w:rsidRPr="00002BFA">
          <w:rPr>
            <w:rStyle w:val="Hyperlink"/>
            <w:rFonts w:asciiTheme="minorHAnsi" w:hAnsiTheme="minorHAnsi"/>
          </w:rPr>
          <w:t>http://arpa-e.energy.gov/</w:t>
        </w:r>
      </w:hyperlink>
      <w:r w:rsidRPr="00002BFA">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B47B37" w:rsidRPr="00002BFA" w:rsidRDefault="00B47B37" w:rsidP="00B47B37">
      <w:pPr>
        <w:pStyle w:val="Default"/>
        <w:ind w:left="318"/>
        <w:rPr>
          <w:rFonts w:asciiTheme="minorHAnsi" w:hAnsiTheme="minorHAnsi" w:cs="Times New Roman"/>
          <w:color w:val="auto"/>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(b)</w:t>
      </w:r>
      <w:r w:rsidRPr="00002BFA">
        <w:rPr>
          <w:rFonts w:asciiTheme="minorHAnsi" w:hAnsiTheme="minorHAnsi" w:cs="Times New Roman"/>
          <w:color w:val="auto"/>
        </w:rPr>
        <w:tab/>
        <w:t>University and Nonprofit Organization Subawardees: The Recipient shall incorporate all of the intellectual property provisions found in Attachment 2 (</w:t>
      </w:r>
      <w:r w:rsidR="00A11F3E" w:rsidRPr="00002BFA">
        <w:rPr>
          <w:rFonts w:asciiTheme="minorHAnsi" w:hAnsiTheme="minorHAnsi" w:cs="Times New Roman"/>
          <w:color w:val="auto"/>
        </w:rPr>
        <w:t>DOMESTIC UNIVERSITIES AND NONPROFIT ORGANIZATIONS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10" w:history="1">
        <w:r w:rsidRPr="00002BFA">
          <w:rPr>
            <w:rStyle w:val="Hyperlink"/>
            <w:rFonts w:asciiTheme="minorHAnsi" w:hAnsiTheme="minorHAnsi"/>
          </w:rPr>
          <w:t>http://arpa-e.energy.gov/</w:t>
        </w:r>
      </w:hyperlink>
      <w:r w:rsidRPr="00002BFA">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B47B37" w:rsidRPr="00002BFA" w:rsidRDefault="00B47B37" w:rsidP="00B47B37">
      <w:pPr>
        <w:pStyle w:val="Default"/>
        <w:ind w:left="720" w:hanging="720"/>
        <w:rPr>
          <w:rFonts w:asciiTheme="minorHAnsi" w:hAnsiTheme="minorHAnsi" w:cs="Times New Roman"/>
          <w:color w:val="auto"/>
        </w:rPr>
      </w:pPr>
    </w:p>
    <w:p w:rsidR="00B47B37" w:rsidRDefault="00B47B37" w:rsidP="00CD7B0C">
      <w:pPr>
        <w:pStyle w:val="Default"/>
        <w:ind w:left="720" w:hanging="720"/>
        <w:rPr>
          <w:rFonts w:asciiTheme="minorHAnsi" w:hAnsiTheme="minorHAnsi" w:cs="Times New Roman"/>
          <w:color w:val="auto"/>
        </w:rPr>
      </w:pPr>
      <w:r w:rsidRPr="00002BFA">
        <w:rPr>
          <w:rFonts w:asciiTheme="minorHAnsi" w:hAnsiTheme="minorHAnsi" w:cs="Times New Roman"/>
          <w:color w:val="auto"/>
        </w:rPr>
        <w:t>(c)</w:t>
      </w:r>
      <w:r w:rsidRPr="00002BFA">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002BFA">
          <w:rPr>
            <w:rStyle w:val="Hyperlink"/>
            <w:rFonts w:asciiTheme="minorHAnsi" w:hAnsiTheme="minorHAnsi"/>
          </w:rPr>
          <w:t>http://arpa-e.energy.gov/</w:t>
        </w:r>
      </w:hyperlink>
      <w:r w:rsidRPr="00002BFA">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with their terms and conditions.</w:t>
      </w:r>
    </w:p>
    <w:p w:rsidR="00A11F3E" w:rsidRDefault="00A11F3E" w:rsidP="00CD7B0C">
      <w:pPr>
        <w:pStyle w:val="Default"/>
        <w:ind w:left="720" w:hanging="720"/>
        <w:rPr>
          <w:rFonts w:asciiTheme="minorHAnsi" w:hAnsiTheme="minorHAnsi" w:cs="Times New Roman"/>
          <w:color w:val="auto"/>
        </w:rPr>
      </w:pPr>
    </w:p>
    <w:p w:rsidR="00A11F3E" w:rsidRPr="00A11F3E" w:rsidRDefault="00A11F3E" w:rsidP="00A11F3E">
      <w:pPr>
        <w:pStyle w:val="ListParagraph"/>
        <w:numPr>
          <w:ilvl w:val="0"/>
          <w:numId w:val="23"/>
        </w:numPr>
        <w:jc w:val="both"/>
        <w:rPr>
          <w:rFonts w:asciiTheme="minorHAnsi" w:hAnsiTheme="minorHAnsi"/>
          <w:b/>
        </w:rPr>
      </w:pPr>
      <w:r w:rsidRPr="00A11F3E">
        <w:rPr>
          <w:rFonts w:asciiTheme="minorHAnsi" w:hAnsiTheme="minorHAnsi"/>
          <w:b/>
        </w:rPr>
        <w:t>Enhanced U.S. Competitiveness</w:t>
      </w:r>
    </w:p>
    <w:p w:rsidR="00A11F3E" w:rsidRPr="00A11F3E" w:rsidRDefault="00A11F3E" w:rsidP="00A11F3E">
      <w:pPr>
        <w:pStyle w:val="ListParagraph"/>
        <w:ind w:left="460"/>
        <w:jc w:val="both"/>
        <w:rPr>
          <w:rFonts w:asciiTheme="minorHAnsi" w:hAnsiTheme="minorHAnsi"/>
          <w:b/>
        </w:rPr>
      </w:pPr>
    </w:p>
    <w:p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(a)</w:t>
      </w:r>
      <w:r w:rsidRPr="00A11F3E">
        <w:rPr>
          <w:rFonts w:asciiTheme="minorHAnsi" w:eastAsia="Times New Roman" w:hAnsiTheme="minorHAnsi"/>
          <w:color w:val="000000"/>
        </w:rPr>
        <w:tab/>
        <w:t xml:space="preserve">The Recipient agrees that any products embodying any elected subject invention or produced through the use of any elected subject invention will be manufactured substantially in the United States for any use or sale in the United States or outside of the </w:t>
      </w:r>
      <w:r w:rsidRPr="00A11F3E">
        <w:rPr>
          <w:rFonts w:asciiTheme="minorHAnsi" w:eastAsia="Times New Roman" w:hAnsiTheme="minorHAnsi"/>
          <w:color w:val="000000"/>
        </w:rPr>
        <w:lastRenderedPageBreak/>
        <w:t>United States, unless the Recipient can show to the satisfaction of DOE that it is not commercially feasible to do so. (Baseline U.S. Manufacturing Commitment)</w:t>
      </w:r>
    </w:p>
    <w:p w:rsidR="00A11F3E" w:rsidRPr="00A11F3E" w:rsidRDefault="00A11F3E" w:rsidP="00A11F3E">
      <w:pPr>
        <w:ind w:left="720"/>
        <w:jc w:val="both"/>
        <w:rPr>
          <w:rFonts w:asciiTheme="minorHAnsi" w:eastAsia="Times New Roman" w:hAnsiTheme="minorHAnsi"/>
          <w:color w:val="000000"/>
        </w:rPr>
      </w:pPr>
    </w:p>
    <w:p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(b)</w:t>
      </w:r>
      <w:r w:rsidRPr="00A11F3E">
        <w:rPr>
          <w:rFonts w:asciiTheme="minorHAnsi" w:eastAsia="Times New Roman" w:hAnsiTheme="minorHAnsi"/>
          <w:color w:val="000000"/>
        </w:rPr>
        <w:tab/>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A11F3E" w:rsidRPr="00A11F3E" w:rsidRDefault="00A11F3E" w:rsidP="00A11F3E">
      <w:pPr>
        <w:ind w:left="720"/>
        <w:jc w:val="both"/>
        <w:rPr>
          <w:rFonts w:asciiTheme="minorHAnsi" w:eastAsia="Times New Roman" w:hAnsiTheme="minorHAnsi"/>
          <w:color w:val="000000"/>
        </w:rPr>
      </w:pPr>
    </w:p>
    <w:p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(c)</w:t>
      </w:r>
      <w:r w:rsidRPr="00A11F3E">
        <w:rPr>
          <w:rFonts w:asciiTheme="minorHAnsi" w:eastAsia="Times New Roman" w:hAnsiTheme="minorHAnsi"/>
          <w:color w:val="000000"/>
        </w:rPr>
        <w:tab/>
        <w:t xml:space="preserve">If the Recipient or a licensee of the Recipient fails to comply with the foregoing U.S. manufacturing requirement then: </w:t>
      </w:r>
    </w:p>
    <w:p w:rsidR="00A11F3E" w:rsidRPr="00A11F3E" w:rsidRDefault="00A11F3E" w:rsidP="00A11F3E">
      <w:pPr>
        <w:ind w:left="720"/>
        <w:jc w:val="both"/>
        <w:rPr>
          <w:rFonts w:asciiTheme="minorHAnsi" w:eastAsia="Times New Roman" w:hAnsiTheme="minorHAnsi"/>
          <w:color w:val="000000"/>
        </w:rPr>
      </w:pPr>
    </w:p>
    <w:p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(1)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(2) the Recipient shall and hereby assigns to DOE all licenses that grant any rights to any Subject Inventions to an unaffiliated third party</w:t>
      </w:r>
      <w:r w:rsidRPr="00A11F3E">
        <w:rPr>
          <w:rFonts w:asciiTheme="minorHAnsi" w:eastAsia="Times New Roman" w:hAnsiTheme="minorHAnsi"/>
          <w:color w:val="000000"/>
          <w:vertAlign w:val="superscript"/>
        </w:rPr>
        <w:footnoteReference w:id="1"/>
      </w:r>
      <w:r w:rsidRPr="00A11F3E">
        <w:rPr>
          <w:rFonts w:asciiTheme="minorHAnsi" w:eastAsia="Times New Roman" w:hAnsiTheme="minorHAnsi"/>
          <w:color w:val="000000"/>
        </w:rPr>
        <w:t xml:space="preserve">  that is in compliance with the domestic manufacturing requirement of this provision;</w:t>
      </w:r>
    </w:p>
    <w:p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(3) all licenses, not subject to (2), that grant any rights to any Subject Inventions shall immediately be terminated without compensation from DOE; and </w:t>
      </w:r>
    </w:p>
    <w:p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(4)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A11F3E" w:rsidRPr="00A11F3E" w:rsidRDefault="00A11F3E" w:rsidP="00A11F3E">
      <w:pPr>
        <w:ind w:left="720"/>
        <w:jc w:val="both"/>
        <w:rPr>
          <w:rFonts w:asciiTheme="minorHAnsi" w:eastAsia="Times New Roman" w:hAnsiTheme="minorHAnsi"/>
          <w:color w:val="000000"/>
        </w:rPr>
      </w:pPr>
    </w:p>
    <w:p w:rsidR="00A11F3E" w:rsidRPr="00A11F3E" w:rsidRDefault="00A11F3E" w:rsidP="00A11F3E">
      <w:pPr>
        <w:ind w:left="720" w:hanging="630"/>
        <w:jc w:val="both"/>
        <w:rPr>
          <w:rFonts w:asciiTheme="minorHAnsi" w:eastAsia="Times New Roman" w:hAnsiTheme="minorHAnsi"/>
          <w:color w:val="000000"/>
        </w:rPr>
      </w:pPr>
      <w:r w:rsidRPr="00A11F3E">
        <w:rPr>
          <w:rFonts w:asciiTheme="minorHAnsi" w:eastAsia="Times New Roman" w:hAnsiTheme="minorHAnsi"/>
          <w:color w:val="000000"/>
        </w:rPr>
        <w:t>(d)</w:t>
      </w:r>
      <w:r w:rsidRPr="00A11F3E">
        <w:rPr>
          <w:rFonts w:asciiTheme="minorHAnsi" w:eastAsia="Times New Roman" w:hAnsiTheme="minorHAnsi"/>
          <w:color w:val="000000"/>
        </w:rPr>
        <w:tab/>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  </w:t>
      </w:r>
    </w:p>
    <w:p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(c)</w:t>
      </w:r>
      <w:r w:rsidRPr="00A11F3E">
        <w:rPr>
          <w:rFonts w:asciiTheme="minorHAnsi" w:eastAsia="Times New Roman" w:hAnsiTheme="minorHAnsi"/>
          <w:color w:val="000000"/>
        </w:rPr>
        <w:tab/>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w:t>
      </w:r>
      <w:r w:rsidRPr="00A11F3E">
        <w:rPr>
          <w:rFonts w:asciiTheme="minorHAnsi" w:eastAsia="Times New Roman" w:hAnsiTheme="minorHAnsi"/>
          <w:color w:val="000000"/>
        </w:rPr>
        <w:lastRenderedPageBreak/>
        <w:t xml:space="preserve">Subject Invention undergoes a change in ownership amounting to a controlling interest, the Recipient shall ensure continual compliance with these requirements and shall inform DOE, in writing, of the change in ownership within 6 months of the change.  </w:t>
      </w:r>
    </w:p>
    <w:p w:rsidR="00A11F3E" w:rsidRPr="00A11F3E" w:rsidRDefault="00A11F3E" w:rsidP="00A11F3E">
      <w:pPr>
        <w:rPr>
          <w:rFonts w:asciiTheme="minorHAnsi" w:eastAsia="Times New Roman" w:hAnsiTheme="minorHAnsi"/>
          <w:color w:val="000000"/>
        </w:rPr>
      </w:pPr>
    </w:p>
    <w:p w:rsidR="00A11F3E" w:rsidRPr="00002BFA" w:rsidRDefault="00A11F3E" w:rsidP="00CD7B0C">
      <w:pPr>
        <w:pStyle w:val="Default"/>
        <w:ind w:left="720" w:hanging="720"/>
        <w:rPr>
          <w:rFonts w:asciiTheme="minorHAnsi" w:hAnsiTheme="minorHAnsi" w:cs="Times New Roman"/>
          <w:color w:val="auto"/>
        </w:rPr>
      </w:pPr>
    </w:p>
    <w:p w:rsidR="00B47B37" w:rsidRPr="009B57F0" w:rsidRDefault="00B47B37" w:rsidP="00B47B37">
      <w:pPr>
        <w:pStyle w:val="Default"/>
        <w:rPr>
          <w:rFonts w:asciiTheme="minorHAnsi" w:hAnsiTheme="minorHAnsi"/>
        </w:rPr>
      </w:pPr>
    </w:p>
    <w:p w:rsidR="00832E8D" w:rsidRDefault="00832E8D" w:rsidP="00B47B37">
      <w:pPr>
        <w:jc w:val="center"/>
        <w:rPr>
          <w:spacing w:val="-1"/>
        </w:rPr>
      </w:pPr>
    </w:p>
    <w:sectPr w:rsidR="00832E8D" w:rsidSect="00CD7B0C">
      <w:headerReference w:type="default" r:id="rId12"/>
      <w:footerReference w:type="default" r:id="rId13"/>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FD" w:rsidRDefault="00C24EFD">
      <w:r>
        <w:separator/>
      </w:r>
    </w:p>
  </w:endnote>
  <w:endnote w:type="continuationSeparator" w:id="0">
    <w:p w:rsidR="00C24EFD" w:rsidRDefault="00C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69238322"/>
      <w:docPartObj>
        <w:docPartGallery w:val="Page Numbers (Top of Page)"/>
        <w:docPartUnique/>
      </w:docPartObj>
    </w:sdtPr>
    <w:sdtEndPr>
      <w:rPr>
        <w:sz w:val="22"/>
        <w:szCs w:val="22"/>
      </w:rPr>
    </w:sdtEndPr>
    <w:sdtContent>
      <w:p w:rsidR="00A11F3E" w:rsidRPr="00EA3461" w:rsidRDefault="00A11F3E" w:rsidP="00EA3461">
        <w:pPr>
          <w:pStyle w:val="Footer"/>
          <w:ind w:firstLine="2880"/>
          <w:rPr>
            <w:rFonts w:asciiTheme="minorHAnsi" w:hAnsiTheme="minorHAnsi"/>
            <w:sz w:val="22"/>
            <w:szCs w:val="22"/>
          </w:rPr>
        </w:pPr>
        <w:r w:rsidRPr="00EA3461">
          <w:rPr>
            <w:rFonts w:asciiTheme="minorHAnsi" w:hAnsiTheme="minorHAnsi"/>
            <w:sz w:val="22"/>
            <w:szCs w:val="22"/>
          </w:rPr>
          <w:t xml:space="preserve">Page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PAGE </w:instrText>
        </w:r>
        <w:r w:rsidRPr="00EA3461">
          <w:rPr>
            <w:rFonts w:asciiTheme="minorHAnsi" w:hAnsiTheme="minorHAnsi"/>
            <w:bCs/>
            <w:sz w:val="22"/>
            <w:szCs w:val="22"/>
          </w:rPr>
          <w:fldChar w:fldCharType="separate"/>
        </w:r>
        <w:r w:rsidR="00900065">
          <w:rPr>
            <w:rFonts w:asciiTheme="minorHAnsi" w:hAnsiTheme="minorHAnsi"/>
            <w:bCs/>
            <w:noProof/>
            <w:sz w:val="22"/>
            <w:szCs w:val="22"/>
          </w:rPr>
          <w:t>13</w:t>
        </w:r>
        <w:r w:rsidRPr="00EA3461">
          <w:rPr>
            <w:rFonts w:asciiTheme="minorHAnsi" w:hAnsiTheme="minorHAnsi"/>
            <w:bCs/>
            <w:sz w:val="22"/>
            <w:szCs w:val="22"/>
          </w:rPr>
          <w:fldChar w:fldCharType="end"/>
        </w:r>
        <w:r w:rsidRPr="00EA3461">
          <w:rPr>
            <w:rFonts w:asciiTheme="minorHAnsi" w:hAnsiTheme="minorHAnsi"/>
            <w:sz w:val="22"/>
            <w:szCs w:val="22"/>
          </w:rPr>
          <w:t xml:space="preserve"> of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NUMPAGES  </w:instrText>
        </w:r>
        <w:r w:rsidRPr="00EA3461">
          <w:rPr>
            <w:rFonts w:asciiTheme="minorHAnsi" w:hAnsiTheme="minorHAnsi"/>
            <w:bCs/>
            <w:sz w:val="22"/>
            <w:szCs w:val="22"/>
          </w:rPr>
          <w:fldChar w:fldCharType="separate"/>
        </w:r>
        <w:r w:rsidR="00900065">
          <w:rPr>
            <w:rFonts w:asciiTheme="minorHAnsi" w:hAnsiTheme="minorHAnsi"/>
            <w:bCs/>
            <w:noProof/>
            <w:sz w:val="22"/>
            <w:szCs w:val="22"/>
          </w:rPr>
          <w:t>13</w:t>
        </w:r>
        <w:r w:rsidRPr="00EA3461">
          <w:rPr>
            <w:rFonts w:asciiTheme="minorHAnsi" w:hAnsiTheme="minorHAnsi"/>
            <w:bCs/>
            <w:sz w:val="22"/>
            <w:szCs w:val="22"/>
          </w:rPr>
          <w:fldChar w:fldCharType="end"/>
        </w:r>
        <w:r w:rsidR="00CB05CE">
          <w:rPr>
            <w:rFonts w:asciiTheme="minorHAnsi" w:hAnsiTheme="minorHAnsi"/>
            <w:bCs/>
            <w:sz w:val="22"/>
            <w:szCs w:val="22"/>
          </w:rPr>
          <w:tab/>
        </w:r>
        <w:r w:rsidR="00CB05CE">
          <w:rPr>
            <w:rFonts w:asciiTheme="minorHAnsi" w:hAnsiTheme="minorHAnsi"/>
            <w:bCs/>
            <w:sz w:val="22"/>
            <w:szCs w:val="22"/>
          </w:rPr>
          <w:tab/>
          <w:t>AR-234</w:t>
        </w:r>
        <w:r w:rsidR="00900065">
          <w:rPr>
            <w:rFonts w:asciiTheme="minorHAnsi" w:hAnsiTheme="minorHAnsi"/>
            <w:bCs/>
            <w:sz w:val="22"/>
            <w:szCs w:val="22"/>
          </w:rPr>
          <w:t>A</w:t>
        </w:r>
        <w:r w:rsidR="00CB05CE">
          <w:rPr>
            <w:rFonts w:asciiTheme="minorHAnsi" w:hAnsiTheme="minorHAnsi"/>
            <w:bCs/>
            <w:sz w:val="22"/>
            <w:szCs w:val="22"/>
          </w:rPr>
          <w:t>-10.08.19</w:t>
        </w:r>
      </w:p>
    </w:sdtContent>
  </w:sdt>
  <w:p w:rsidR="00A11F3E" w:rsidRPr="00EA3461" w:rsidRDefault="00A11F3E">
    <w:pPr>
      <w:pStyle w:val="BodyText"/>
      <w:kinsoku w:val="0"/>
      <w:overflowPunct w:val="0"/>
      <w:spacing w:line="14" w:lineRule="auto"/>
      <w:ind w:left="0" w:firstLine="0"/>
      <w:rPr>
        <w:rFonts w:asciiTheme="minorHAnsi" w:hAnsiTheme="minorHAnsi"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FD" w:rsidRDefault="00C24EFD">
      <w:r>
        <w:separator/>
      </w:r>
    </w:p>
  </w:footnote>
  <w:footnote w:type="continuationSeparator" w:id="0">
    <w:p w:rsidR="00C24EFD" w:rsidRDefault="00C24EFD">
      <w:r>
        <w:continuationSeparator/>
      </w:r>
    </w:p>
  </w:footnote>
  <w:footnote w:id="1">
    <w:p w:rsidR="00A11F3E" w:rsidRPr="003A6EA6" w:rsidRDefault="00A11F3E" w:rsidP="00A11F3E">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3E" w:rsidRDefault="00A11F3E">
    <w:pPr>
      <w:pStyle w:val="Header"/>
    </w:pPr>
  </w:p>
  <w:p w:rsidR="00A11F3E" w:rsidRDefault="00A11F3E">
    <w:pPr>
      <w:rPr>
        <w:rFonts w:asciiTheme="minorHAnsi" w:hAnsiTheme="minorHAnsi"/>
        <w:b/>
        <w:sz w:val="20"/>
        <w:szCs w:val="20"/>
      </w:rPr>
    </w:pPr>
    <w:r w:rsidRPr="0080124F">
      <w:rPr>
        <w:rFonts w:asciiTheme="minorHAnsi" w:hAnsiTheme="minorHAnsi"/>
        <w:b/>
        <w:sz w:val="20"/>
        <w:szCs w:val="20"/>
      </w:rPr>
      <w:t>ARPA-E Award No. DE-AR000XXXX with [Insert Recipient]</w:t>
    </w:r>
  </w:p>
  <w:p w:rsidR="00A11F3E" w:rsidRPr="00EA3461" w:rsidRDefault="00A11F3E">
    <w:pPr>
      <w:rPr>
        <w:rFonts w:asciiTheme="minorHAnsi" w:hAnsiTheme="minorHAnsi"/>
        <w:b/>
        <w:sz w:val="20"/>
        <w:szCs w:val="20"/>
      </w:rPr>
    </w:pPr>
    <w:r w:rsidRPr="00EA3461">
      <w:rPr>
        <w:rFonts w:asciiTheme="minorHAnsi" w:hAnsiTheme="minorHAns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9"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5F23ED"/>
    <w:multiLevelType w:val="hybridMultilevel"/>
    <w:tmpl w:val="47AE5752"/>
    <w:lvl w:ilvl="0" w:tplc="5D24BB4C">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34F2C"/>
    <w:multiLevelType w:val="hybridMultilevel"/>
    <w:tmpl w:val="6E3A44D8"/>
    <w:lvl w:ilvl="0" w:tplc="4BF09BE0">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E856D2"/>
    <w:multiLevelType w:val="hybridMultilevel"/>
    <w:tmpl w:val="B70863A4"/>
    <w:lvl w:ilvl="0" w:tplc="FE001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541E3E"/>
    <w:multiLevelType w:val="hybridMultilevel"/>
    <w:tmpl w:val="D4B6E44E"/>
    <w:lvl w:ilvl="0" w:tplc="6DF0EB0A">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24DB0"/>
    <w:multiLevelType w:val="hybridMultilevel"/>
    <w:tmpl w:val="4BCC3644"/>
    <w:lvl w:ilvl="0" w:tplc="DC346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3644C8"/>
    <w:multiLevelType w:val="hybridMultilevel"/>
    <w:tmpl w:val="EEFA7A4A"/>
    <w:lvl w:ilvl="0" w:tplc="BA689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0090C"/>
    <w:multiLevelType w:val="hybridMultilevel"/>
    <w:tmpl w:val="54CEED98"/>
    <w:lvl w:ilvl="0" w:tplc="32A444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5155A"/>
    <w:multiLevelType w:val="hybridMultilevel"/>
    <w:tmpl w:val="C68EE1C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2"/>
  </w:num>
  <w:num w:numId="20">
    <w:abstractNumId w:val="14"/>
  </w:num>
  <w:num w:numId="21">
    <w:abstractNumId w:val="29"/>
  </w:num>
  <w:num w:numId="22">
    <w:abstractNumId w:val="30"/>
  </w:num>
  <w:num w:numId="23">
    <w:abstractNumId w:val="20"/>
  </w:num>
  <w:num w:numId="24">
    <w:abstractNumId w:val="32"/>
  </w:num>
  <w:num w:numId="25">
    <w:abstractNumId w:val="26"/>
  </w:num>
  <w:num w:numId="26">
    <w:abstractNumId w:val="27"/>
  </w:num>
  <w:num w:numId="27">
    <w:abstractNumId w:val="16"/>
  </w:num>
  <w:num w:numId="28">
    <w:abstractNumId w:val="21"/>
  </w:num>
  <w:num w:numId="29">
    <w:abstractNumId w:val="13"/>
  </w:num>
  <w:num w:numId="30">
    <w:abstractNumId w:val="19"/>
  </w:num>
  <w:num w:numId="31">
    <w:abstractNumId w:val="24"/>
  </w:num>
  <w:num w:numId="32">
    <w:abstractNumId w:val="15"/>
  </w:num>
  <w:num w:numId="33">
    <w:abstractNumId w:val="33"/>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162B6F"/>
    <w:rsid w:val="001A07DE"/>
    <w:rsid w:val="00703E9C"/>
    <w:rsid w:val="0080124F"/>
    <w:rsid w:val="00832E8D"/>
    <w:rsid w:val="00900065"/>
    <w:rsid w:val="009B7AC9"/>
    <w:rsid w:val="009B7E0B"/>
    <w:rsid w:val="009D313C"/>
    <w:rsid w:val="00A11F3E"/>
    <w:rsid w:val="00A2493D"/>
    <w:rsid w:val="00B32DA8"/>
    <w:rsid w:val="00B47B37"/>
    <w:rsid w:val="00C24EFD"/>
    <w:rsid w:val="00C3125B"/>
    <w:rsid w:val="00CB05CE"/>
    <w:rsid w:val="00CD7B0C"/>
    <w:rsid w:val="00D30316"/>
    <w:rsid w:val="00D30AB8"/>
    <w:rsid w:val="00D73447"/>
    <w:rsid w:val="00EA3461"/>
    <w:rsid w:val="00F249CD"/>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52C0239-48F4-48CB-BA82-1941E9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szCs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szCs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Courier New"/>
      <w:sz w:val="20"/>
      <w:szCs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B47B37"/>
    <w:rPr>
      <w:rFonts w:ascii="Times New Roman" w:hAnsi="Times New Roman"/>
      <w:sz w:val="24"/>
      <w:szCs w:val="24"/>
    </w:rPr>
  </w:style>
  <w:style w:type="character" w:customStyle="1" w:styleId="p">
    <w:name w:val="p"/>
    <w:basedOn w:val="DefaultParagraphFont"/>
    <w:rsid w:val="00B47B37"/>
  </w:style>
  <w:style w:type="paragraph" w:styleId="BalloonText">
    <w:name w:val="Balloon Text"/>
    <w:basedOn w:val="Normal"/>
    <w:link w:val="BalloonTextChar"/>
    <w:uiPriority w:val="99"/>
    <w:semiHidden/>
    <w:unhideWhenUsed/>
    <w:rsid w:val="00B47B37"/>
    <w:rPr>
      <w:rFonts w:ascii="Tahoma" w:hAnsi="Tahoma" w:cs="Tahoma"/>
      <w:sz w:val="16"/>
      <w:szCs w:val="16"/>
    </w:rPr>
  </w:style>
  <w:style w:type="character" w:customStyle="1" w:styleId="BalloonTextChar">
    <w:name w:val="Balloon Text Char"/>
    <w:basedOn w:val="DefaultParagraphFont"/>
    <w:link w:val="BalloonText"/>
    <w:uiPriority w:val="99"/>
    <w:semiHidden/>
    <w:rsid w:val="00B47B37"/>
    <w:rPr>
      <w:rFonts w:ascii="Tahoma" w:hAnsi="Tahoma" w:cs="Tahoma"/>
      <w:sz w:val="16"/>
      <w:szCs w:val="16"/>
    </w:rPr>
  </w:style>
  <w:style w:type="character" w:styleId="CommentReference">
    <w:name w:val="annotation reference"/>
    <w:basedOn w:val="DefaultParagraphFont"/>
    <w:uiPriority w:val="99"/>
    <w:semiHidden/>
    <w:unhideWhenUsed/>
    <w:rsid w:val="00B47B37"/>
    <w:rPr>
      <w:sz w:val="16"/>
      <w:szCs w:val="16"/>
    </w:rPr>
  </w:style>
  <w:style w:type="paragraph" w:styleId="CommentText">
    <w:name w:val="annotation text"/>
    <w:basedOn w:val="Normal"/>
    <w:link w:val="CommentTextChar"/>
    <w:uiPriority w:val="99"/>
    <w:semiHidden/>
    <w:unhideWhenUsed/>
    <w:rsid w:val="00B47B37"/>
    <w:rPr>
      <w:sz w:val="20"/>
      <w:szCs w:val="20"/>
    </w:rPr>
  </w:style>
  <w:style w:type="character" w:customStyle="1" w:styleId="CommentTextChar">
    <w:name w:val="Comment Text Char"/>
    <w:basedOn w:val="DefaultParagraphFont"/>
    <w:link w:val="CommentText"/>
    <w:uiPriority w:val="99"/>
    <w:semiHidden/>
    <w:rsid w:val="00B47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B37"/>
    <w:rPr>
      <w:b/>
      <w:bCs/>
    </w:rPr>
  </w:style>
  <w:style w:type="character" w:customStyle="1" w:styleId="CommentSubjectChar">
    <w:name w:val="Comment Subject Char"/>
    <w:basedOn w:val="CommentTextChar"/>
    <w:link w:val="CommentSubject"/>
    <w:uiPriority w:val="99"/>
    <w:semiHidden/>
    <w:rsid w:val="00B47B37"/>
    <w:rPr>
      <w:rFonts w:ascii="Times New Roman" w:hAnsi="Times New Roman"/>
      <w:b/>
      <w:bCs/>
      <w:sz w:val="20"/>
      <w:szCs w:val="20"/>
    </w:rPr>
  </w:style>
  <w:style w:type="character" w:styleId="FollowedHyperlink">
    <w:name w:val="FollowedHyperlink"/>
    <w:basedOn w:val="DefaultParagraphFont"/>
    <w:uiPriority w:val="99"/>
    <w:semiHidden/>
    <w:unhideWhenUsed/>
    <w:rsid w:val="00B47B37"/>
    <w:rPr>
      <w:color w:val="800080" w:themeColor="followedHyperlink"/>
      <w:u w:val="single"/>
    </w:rPr>
  </w:style>
  <w:style w:type="paragraph" w:styleId="FootnoteText">
    <w:name w:val="footnote text"/>
    <w:basedOn w:val="Normal"/>
    <w:link w:val="FootnoteTextChar"/>
    <w:uiPriority w:val="99"/>
    <w:semiHidden/>
    <w:unhideWhenUsed/>
    <w:rsid w:val="00A11F3E"/>
    <w:pPr>
      <w:widowControl/>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1F3E"/>
    <w:rPr>
      <w:rFonts w:cstheme="minorBidi"/>
      <w:sz w:val="20"/>
      <w:szCs w:val="20"/>
    </w:rPr>
  </w:style>
  <w:style w:type="character" w:styleId="FootnoteReference">
    <w:name w:val="footnote reference"/>
    <w:basedOn w:val="DefaultParagraphFont"/>
    <w:uiPriority w:val="99"/>
    <w:semiHidden/>
    <w:unhideWhenUsed/>
    <w:rsid w:val="00A1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E7FF-E71C-4469-B78A-A3222709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creator>WINUSER1</dc:creator>
  <cp:lastModifiedBy>Daniel Adams</cp:lastModifiedBy>
  <cp:revision>4</cp:revision>
  <dcterms:created xsi:type="dcterms:W3CDTF">2019-10-08T13:34:00Z</dcterms:created>
  <dcterms:modified xsi:type="dcterms:W3CDTF">2019-10-10T13:28:00Z</dcterms:modified>
</cp:coreProperties>
</file>